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tLeast"/>
        <w:jc w:val="center"/>
        <w:rPr>
          <w:rFonts w:ascii="宋体" w:hAnsi="宋体" w:cs="宋体"/>
          <w:b/>
          <w:bCs/>
          <w:kern w:val="0"/>
          <w:sz w:val="48"/>
          <w:szCs w:val="48"/>
        </w:rPr>
      </w:pPr>
      <w:r>
        <w:rPr>
          <w:rFonts w:hint="eastAsia" w:ascii="宋体" w:hAnsi="宋体" w:cs="宋体"/>
          <w:b/>
          <w:bCs/>
          <w:kern w:val="0"/>
          <w:sz w:val="48"/>
          <w:szCs w:val="48"/>
        </w:rPr>
        <w:t>福建龙岩锦泰工贸有限责任公司消防器材定点采购与维护项目</w:t>
      </w:r>
    </w:p>
    <w:p>
      <w:pPr>
        <w:widowControl/>
        <w:spacing w:line="360" w:lineRule="atLeast"/>
        <w:jc w:val="center"/>
        <w:rPr>
          <w:rFonts w:ascii="宋体" w:hAnsi="宋体" w:cs="宋体"/>
          <w:b/>
          <w:bCs/>
          <w:kern w:val="0"/>
          <w:sz w:val="72"/>
        </w:rPr>
      </w:pPr>
    </w:p>
    <w:p>
      <w:pPr>
        <w:widowControl/>
        <w:spacing w:line="360" w:lineRule="atLeast"/>
        <w:jc w:val="center"/>
        <w:rPr>
          <w:rFonts w:ascii="宋体" w:hAnsi="宋体" w:cs="宋体"/>
          <w:kern w:val="0"/>
          <w:sz w:val="52"/>
          <w:szCs w:val="52"/>
        </w:rPr>
      </w:pPr>
      <w:r>
        <w:rPr>
          <w:rFonts w:hint="eastAsia" w:ascii="宋体" w:hAnsi="宋体" w:cs="宋体"/>
          <w:b/>
          <w:bCs/>
          <w:kern w:val="0"/>
          <w:sz w:val="52"/>
          <w:szCs w:val="52"/>
        </w:rPr>
        <w:t>网上竞价文件</w:t>
      </w:r>
      <w:bookmarkStart w:id="3" w:name="_GoBack"/>
      <w:bookmarkEnd w:id="3"/>
    </w:p>
    <w:p>
      <w:pPr>
        <w:widowControl/>
        <w:spacing w:line="495" w:lineRule="atLeast"/>
        <w:jc w:val="center"/>
        <w:rPr>
          <w:rFonts w:ascii="宋体" w:hAnsi="宋体" w:cs="宋体"/>
          <w:b/>
          <w:bCs/>
          <w:kern w:val="0"/>
          <w:sz w:val="36"/>
        </w:rPr>
      </w:pPr>
      <w:r>
        <w:rPr>
          <w:rFonts w:hint="eastAsia" w:ascii="宋体" w:hAnsi="宋体" w:cs="宋体"/>
          <w:b/>
          <w:bCs/>
          <w:kern w:val="0"/>
          <w:sz w:val="36"/>
        </w:rPr>
        <w:t> </w:t>
      </w:r>
    </w:p>
    <w:p>
      <w:pPr>
        <w:widowControl/>
        <w:spacing w:line="495" w:lineRule="atLeast"/>
        <w:jc w:val="center"/>
        <w:rPr>
          <w:rFonts w:ascii="宋体" w:hAnsi="宋体" w:cs="宋体"/>
          <w:b/>
          <w:bCs/>
          <w:kern w:val="0"/>
          <w:sz w:val="36"/>
        </w:rPr>
      </w:pPr>
      <w:r>
        <w:rPr>
          <w:rFonts w:hint="eastAsia" w:ascii="宋体" w:hAnsi="宋体" w:cs="宋体"/>
          <w:b/>
          <w:bCs/>
          <w:kern w:val="0"/>
          <w:sz w:val="36"/>
        </w:rPr>
        <w:t>竞价编号：</w:t>
      </w:r>
      <w:r>
        <w:rPr>
          <w:rFonts w:hint="eastAsia" w:ascii="宋体" w:hAnsi="宋体" w:cs="宋体"/>
          <w:b/>
          <w:bCs/>
          <w:kern w:val="0"/>
          <w:sz w:val="36"/>
          <w:lang w:val="en-US" w:eastAsia="zh-CN"/>
        </w:rPr>
        <w:t>YSZB-LY-2021-01-03</w:t>
      </w:r>
    </w:p>
    <w:p>
      <w:pPr>
        <w:widowControl/>
        <w:spacing w:line="495" w:lineRule="atLeast"/>
        <w:jc w:val="center"/>
        <w:rPr>
          <w:rFonts w:ascii="宋体" w:hAnsi="宋体" w:cs="宋体"/>
          <w:b/>
          <w:bCs/>
          <w:kern w:val="0"/>
          <w:sz w:val="36"/>
        </w:rPr>
      </w:pPr>
    </w:p>
    <w:p>
      <w:pPr>
        <w:widowControl/>
        <w:spacing w:line="495" w:lineRule="atLeast"/>
        <w:jc w:val="center"/>
        <w:rPr>
          <w:rFonts w:ascii="宋体" w:hAnsi="宋体" w:cs="宋体"/>
          <w:b/>
          <w:bCs/>
          <w:kern w:val="0"/>
          <w:szCs w:val="21"/>
        </w:rPr>
      </w:pPr>
    </w:p>
    <w:p>
      <w:pPr>
        <w:widowControl/>
        <w:spacing w:line="495" w:lineRule="atLeast"/>
        <w:jc w:val="center"/>
        <w:rPr>
          <w:rFonts w:ascii="宋体" w:hAnsi="宋体" w:cs="宋体"/>
          <w:b/>
          <w:bCs/>
          <w:kern w:val="0"/>
          <w:sz w:val="36"/>
        </w:rPr>
      </w:pPr>
    </w:p>
    <w:p>
      <w:pPr>
        <w:widowControl/>
        <w:spacing w:line="495" w:lineRule="atLeast"/>
        <w:jc w:val="center"/>
        <w:rPr>
          <w:rFonts w:ascii="宋体" w:hAnsi="宋体" w:cs="宋体"/>
          <w:b/>
          <w:bCs/>
          <w:kern w:val="0"/>
          <w:sz w:val="36"/>
        </w:rPr>
      </w:pPr>
      <w:r>
        <w:rPr>
          <w:rFonts w:hint="eastAsia" w:ascii="宋体" w:hAnsi="宋体" w:cs="宋体"/>
          <w:b/>
          <w:bCs/>
          <w:kern w:val="0"/>
          <w:sz w:val="36"/>
        </w:rPr>
        <w:t>采购人：福建龙岩锦泰工贸有限责任公司</w:t>
      </w:r>
    </w:p>
    <w:p>
      <w:pPr>
        <w:widowControl/>
        <w:spacing w:line="495" w:lineRule="atLeast"/>
        <w:jc w:val="center"/>
        <w:rPr>
          <w:rFonts w:ascii="宋体" w:hAnsi="宋体" w:cs="宋体"/>
          <w:b/>
          <w:bCs/>
          <w:kern w:val="0"/>
          <w:sz w:val="36"/>
        </w:rPr>
      </w:pPr>
    </w:p>
    <w:p>
      <w:pPr>
        <w:widowControl/>
        <w:spacing w:line="495" w:lineRule="atLeast"/>
        <w:jc w:val="center"/>
        <w:rPr>
          <w:rFonts w:ascii="宋体" w:hAnsi="宋体" w:cs="宋体"/>
          <w:b/>
          <w:bCs/>
          <w:kern w:val="0"/>
          <w:sz w:val="36"/>
        </w:rPr>
      </w:pPr>
    </w:p>
    <w:p>
      <w:pPr>
        <w:widowControl/>
        <w:spacing w:line="495" w:lineRule="atLeast"/>
        <w:jc w:val="center"/>
        <w:rPr>
          <w:rFonts w:ascii="宋体" w:hAnsi="宋体" w:cs="宋体"/>
          <w:b/>
          <w:bCs/>
          <w:kern w:val="0"/>
          <w:sz w:val="36"/>
        </w:rPr>
      </w:pPr>
    </w:p>
    <w:p>
      <w:pPr>
        <w:widowControl/>
        <w:spacing w:line="495" w:lineRule="atLeast"/>
        <w:jc w:val="center"/>
        <w:rPr>
          <w:rFonts w:ascii="宋体" w:hAnsi="宋体" w:cs="宋体"/>
          <w:kern w:val="0"/>
          <w:szCs w:val="21"/>
        </w:rPr>
      </w:pPr>
      <w:r>
        <w:rPr>
          <w:rFonts w:hint="eastAsia" w:ascii="宋体" w:hAnsi="宋体" w:cs="宋体"/>
          <w:b/>
          <w:bCs/>
          <w:spacing w:val="-15"/>
          <w:kern w:val="0"/>
          <w:sz w:val="48"/>
        </w:rPr>
        <w:t>福建优胜招标项目管理集团有限公司</w:t>
      </w:r>
    </w:p>
    <w:p>
      <w:pPr>
        <w:widowControl/>
        <w:spacing w:line="495" w:lineRule="atLeast"/>
        <w:jc w:val="center"/>
        <w:rPr>
          <w:rFonts w:ascii="宋体" w:hAnsi="宋体" w:cs="宋体"/>
          <w:b/>
          <w:bCs/>
          <w:kern w:val="0"/>
          <w:sz w:val="36"/>
        </w:rPr>
      </w:pPr>
      <w:r>
        <w:rPr>
          <w:rFonts w:hint="eastAsia" w:ascii="宋体" w:hAnsi="宋体" w:cs="宋体"/>
          <w:b/>
          <w:bCs/>
          <w:kern w:val="0"/>
          <w:sz w:val="36"/>
        </w:rPr>
        <w:t>二0二</w:t>
      </w:r>
      <w:r>
        <w:rPr>
          <w:rFonts w:hint="eastAsia" w:ascii="宋体" w:hAnsi="宋体" w:cs="宋体"/>
          <w:b/>
          <w:bCs/>
          <w:kern w:val="0"/>
          <w:sz w:val="36"/>
          <w:lang w:val="en-US" w:eastAsia="zh-CN"/>
        </w:rPr>
        <w:t>二</w:t>
      </w:r>
      <w:r>
        <w:rPr>
          <w:rFonts w:hint="eastAsia" w:ascii="宋体" w:hAnsi="宋体" w:cs="宋体"/>
          <w:b/>
          <w:bCs/>
          <w:kern w:val="0"/>
          <w:sz w:val="36"/>
        </w:rPr>
        <w:t>年</w:t>
      </w:r>
      <w:r>
        <w:rPr>
          <w:rFonts w:hint="eastAsia" w:ascii="宋体" w:hAnsi="宋体" w:cs="宋体"/>
          <w:b/>
          <w:bCs/>
          <w:kern w:val="0"/>
          <w:sz w:val="36"/>
          <w:lang w:val="en-US" w:eastAsia="zh-CN"/>
        </w:rPr>
        <w:t>二</w:t>
      </w:r>
      <w:r>
        <w:rPr>
          <w:rFonts w:hint="eastAsia" w:ascii="宋体" w:hAnsi="宋体" w:cs="宋体"/>
          <w:b/>
          <w:bCs/>
          <w:kern w:val="0"/>
          <w:sz w:val="36"/>
        </w:rPr>
        <w:t>月</w:t>
      </w:r>
    </w:p>
    <w:p>
      <w:pPr>
        <w:widowControl/>
        <w:spacing w:line="360" w:lineRule="auto"/>
        <w:jc w:val="left"/>
        <w:rPr>
          <w:rFonts w:ascii="宋体" w:hAnsi="宋体" w:cs="宋体"/>
          <w:kern w:val="0"/>
          <w:szCs w:val="21"/>
        </w:rPr>
      </w:pPr>
      <w:r>
        <w:rPr>
          <w:rFonts w:ascii="宋体" w:hAnsi="宋体" w:cs="宋体"/>
          <w:kern w:val="0"/>
          <w:szCs w:val="21"/>
        </w:rPr>
        <w:pict>
          <v:rect id="_x0000_i1025" o:spt="1" style="height:1.5pt;width:0.05pt;" fillcolor="#ACA899" filled="t" stroked="f" coordsize="21600,21600" o:hr="t" o:hrstd="t" o:hralign="center">
            <v:path/>
            <v:fill on="t" focussize="0,0"/>
            <v:stroke on="f"/>
            <v:imagedata o:title=""/>
            <o:lock v:ext="edit"/>
            <w10:wrap type="none"/>
            <w10:anchorlock/>
          </v:rect>
        </w:pict>
      </w:r>
    </w:p>
    <w:p>
      <w:pPr>
        <w:rPr>
          <w:rFonts w:ascii="宋体" w:hAnsi="宋体"/>
          <w:b/>
          <w:bCs/>
          <w:sz w:val="28"/>
          <w:szCs w:val="28"/>
        </w:rPr>
      </w:pPr>
      <w:r>
        <w:rPr>
          <w:rFonts w:hint="eastAsia" w:ascii="宋体" w:hAnsi="宋体"/>
          <w:b/>
          <w:bCs/>
          <w:sz w:val="28"/>
          <w:szCs w:val="28"/>
        </w:rPr>
        <w:t>地址: 龙岩市新罗区龙岩大道383号万阳城A3梯1921、1922室</w:t>
      </w:r>
    </w:p>
    <w:p>
      <w:pPr>
        <w:rPr>
          <w:rFonts w:ascii="宋体" w:hAnsi="宋体" w:eastAsia="宋体"/>
          <w:b/>
          <w:bCs/>
          <w:sz w:val="28"/>
          <w:szCs w:val="28"/>
        </w:rPr>
      </w:pPr>
      <w:r>
        <w:rPr>
          <w:rFonts w:hint="eastAsia" w:ascii="宋体" w:hAnsi="宋体"/>
          <w:b/>
          <w:bCs/>
          <w:sz w:val="28"/>
          <w:szCs w:val="28"/>
        </w:rPr>
        <w:t>电话:0597-2283818</w:t>
      </w:r>
      <w:r>
        <w:rPr>
          <w:rFonts w:hint="eastAsia" w:ascii="宋体" w:hAnsi="宋体"/>
          <w:b/>
          <w:bCs/>
          <w:sz w:val="28"/>
          <w:szCs w:val="28"/>
          <w:lang w:val="en-US" w:eastAsia="zh-CN"/>
        </w:rPr>
        <w:t xml:space="preserve">                    </w:t>
      </w:r>
      <w:r>
        <w:rPr>
          <w:rFonts w:hint="eastAsia" w:ascii="宋体" w:hAnsi="宋体"/>
          <w:b/>
          <w:bCs/>
          <w:sz w:val="28"/>
          <w:szCs w:val="28"/>
        </w:rPr>
        <w:t>传真：0597-2283818</w:t>
      </w:r>
    </w:p>
    <w:p>
      <w:pPr>
        <w:rPr>
          <w:rFonts w:ascii="宋体" w:hAnsi="宋体"/>
          <w:b/>
          <w:bCs/>
          <w:sz w:val="28"/>
          <w:szCs w:val="28"/>
        </w:rPr>
      </w:pPr>
      <w:r>
        <w:rPr>
          <w:rFonts w:hint="eastAsia" w:ascii="宋体" w:hAnsi="宋体"/>
          <w:b/>
          <w:bCs/>
          <w:sz w:val="28"/>
          <w:szCs w:val="28"/>
        </w:rPr>
        <w:t>网址:www.fjyszb.com                  邮箱:fjlyyszb@163.com</w:t>
      </w:r>
    </w:p>
    <w:p>
      <w:pPr>
        <w:widowControl/>
        <w:textAlignment w:val="center"/>
        <w:rPr>
          <w:rFonts w:ascii="宋体" w:hAnsi="宋体" w:cs="宋体"/>
          <w:b/>
          <w:bCs/>
          <w:color w:val="000000" w:themeColor="text1"/>
          <w:kern w:val="0"/>
          <w:sz w:val="22"/>
          <w:szCs w:val="22"/>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widowControl/>
        <w:textAlignment w:val="center"/>
        <w:rPr>
          <w:rFonts w:ascii="宋体" w:hAnsi="宋体" w:cs="宋体"/>
          <w:b/>
          <w:bCs/>
          <w:color w:val="000000" w:themeColor="text1"/>
          <w:kern w:val="0"/>
          <w:sz w:val="22"/>
          <w:szCs w:val="22"/>
          <w14:textFill>
            <w14:solidFill>
              <w14:schemeClr w14:val="tx1"/>
            </w14:solidFill>
          </w14:textFill>
        </w:rPr>
      </w:pPr>
    </w:p>
    <w:p>
      <w:pPr>
        <w:widowControl/>
        <w:numPr>
          <w:ilvl w:val="0"/>
          <w:numId w:val="1"/>
        </w:numPr>
        <w:textAlignment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竞价货物内容及要求</w:t>
      </w:r>
    </w:p>
    <w:p>
      <w:pPr>
        <w:widowControl/>
        <w:textAlignment w:val="center"/>
        <w:rPr>
          <w:rFonts w:ascii="宋体" w:hAnsi="宋体" w:cs="宋体"/>
          <w:b/>
          <w:bCs/>
          <w:color w:val="000000" w:themeColor="text1"/>
          <w:kern w:val="0"/>
          <w:sz w:val="22"/>
          <w:szCs w:val="22"/>
          <w14:textFill>
            <w14:solidFill>
              <w14:schemeClr w14:val="tx1"/>
            </w14:solidFill>
          </w14:textFill>
        </w:rPr>
      </w:pPr>
    </w:p>
    <w:tbl>
      <w:tblPr>
        <w:tblStyle w:val="9"/>
        <w:tblW w:w="5000" w:type="pct"/>
        <w:tblInd w:w="0" w:type="dxa"/>
        <w:tblLayout w:type="fixed"/>
        <w:tblCellMar>
          <w:top w:w="0" w:type="dxa"/>
          <w:left w:w="108" w:type="dxa"/>
          <w:bottom w:w="0" w:type="dxa"/>
          <w:right w:w="108" w:type="dxa"/>
        </w:tblCellMar>
      </w:tblPr>
      <w:tblGrid>
        <w:gridCol w:w="539"/>
        <w:gridCol w:w="3117"/>
        <w:gridCol w:w="990"/>
        <w:gridCol w:w="3876"/>
      </w:tblGrid>
      <w:tr>
        <w:tblPrEx>
          <w:tblCellMar>
            <w:top w:w="0" w:type="dxa"/>
            <w:left w:w="108" w:type="dxa"/>
            <w:bottom w:w="0" w:type="dxa"/>
            <w:right w:w="108" w:type="dxa"/>
          </w:tblCellMar>
        </w:tblPrEx>
        <w:trPr>
          <w:trHeight w:val="262" w:hRule="atLeast"/>
        </w:trPr>
        <w:tc>
          <w:tcPr>
            <w:tcW w:w="316" w:type="pct"/>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项目名称</w:t>
            </w:r>
          </w:p>
        </w:tc>
        <w:tc>
          <w:tcPr>
            <w:tcW w:w="1829" w:type="pct"/>
            <w:tcBorders>
              <w:top w:val="single" w:color="auto" w:sz="4" w:space="0"/>
              <w:left w:val="nil"/>
              <w:bottom w:val="single" w:color="auto" w:sz="4" w:space="0"/>
              <w:right w:val="single" w:color="auto" w:sz="4" w:space="0"/>
            </w:tcBorders>
            <w:shd w:val="clear" w:color="auto" w:fill="auto"/>
            <w:noWrap/>
            <w:vAlign w:val="center"/>
          </w:tcPr>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福建龙岩锦泰工贸有限责任公司消防器材定点采购与维护项目</w:t>
            </w:r>
          </w:p>
        </w:tc>
        <w:tc>
          <w:tcPr>
            <w:tcW w:w="581" w:type="pct"/>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项目</w:t>
            </w:r>
          </w:p>
          <w:p>
            <w:pPr>
              <w:jc w:val="cente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编号</w:t>
            </w:r>
          </w:p>
        </w:tc>
        <w:tc>
          <w:tcPr>
            <w:tcW w:w="2273" w:type="pct"/>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lang w:val="en-US" w:eastAsia="zh-CN"/>
                <w14:textFill>
                  <w14:solidFill>
                    <w14:schemeClr w14:val="tx1"/>
                  </w14:solidFill>
                </w14:textFill>
              </w:rPr>
              <w:t>YSZB-LY-2021-01-03</w:t>
            </w:r>
          </w:p>
          <w:p>
            <w:pPr>
              <w:jc w:val="center"/>
              <w:rPr>
                <w:rFonts w:ascii="宋体" w:hAnsi="宋体" w:eastAsia="宋体" w:cs="宋体"/>
                <w:bCs/>
                <w:color w:val="000000" w:themeColor="text1"/>
                <w:kern w:val="0"/>
                <w:sz w:val="24"/>
                <w:shd w:val="clear" w:color="auto" w:fill="FFFFFF"/>
                <w14:textFill>
                  <w14:solidFill>
                    <w14:schemeClr w14:val="tx1"/>
                  </w14:solidFill>
                </w14:textFill>
              </w:rPr>
            </w:pPr>
          </w:p>
        </w:tc>
      </w:tr>
      <w:tr>
        <w:tblPrEx>
          <w:tblCellMar>
            <w:top w:w="0" w:type="dxa"/>
            <w:left w:w="108" w:type="dxa"/>
            <w:bottom w:w="0" w:type="dxa"/>
            <w:right w:w="108" w:type="dxa"/>
          </w:tblCellMar>
        </w:tblPrEx>
        <w:trPr>
          <w:trHeight w:val="347" w:hRule="atLeast"/>
        </w:trPr>
        <w:tc>
          <w:tcPr>
            <w:tcW w:w="316" w:type="pct"/>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预算金额</w:t>
            </w:r>
          </w:p>
        </w:tc>
        <w:tc>
          <w:tcPr>
            <w:tcW w:w="1829" w:type="pct"/>
            <w:tcBorders>
              <w:top w:val="single" w:color="auto" w:sz="4" w:space="0"/>
              <w:left w:val="nil"/>
              <w:bottom w:val="single" w:color="auto" w:sz="4" w:space="0"/>
              <w:right w:val="single" w:color="auto" w:sz="4" w:space="0"/>
            </w:tcBorders>
            <w:shd w:val="clear" w:color="auto" w:fill="auto"/>
            <w:noWrap/>
            <w:vAlign w:val="center"/>
          </w:tcPr>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10万元/2年</w:t>
            </w:r>
          </w:p>
        </w:tc>
        <w:tc>
          <w:tcPr>
            <w:tcW w:w="581" w:type="pct"/>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采购</w:t>
            </w:r>
          </w:p>
          <w:p>
            <w:pPr>
              <w:jc w:val="cente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方式</w:t>
            </w:r>
          </w:p>
        </w:tc>
        <w:tc>
          <w:tcPr>
            <w:tcW w:w="2273" w:type="pct"/>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网上竞价</w:t>
            </w:r>
          </w:p>
        </w:tc>
      </w:tr>
      <w:tr>
        <w:tblPrEx>
          <w:tblCellMar>
            <w:top w:w="0" w:type="dxa"/>
            <w:left w:w="108" w:type="dxa"/>
            <w:bottom w:w="0" w:type="dxa"/>
            <w:right w:w="108" w:type="dxa"/>
          </w:tblCellMar>
        </w:tblPrEx>
        <w:trPr>
          <w:trHeight w:val="8785" w:hRule="atLeast"/>
        </w:trPr>
        <w:tc>
          <w:tcPr>
            <w:tcW w:w="316" w:type="pct"/>
            <w:tcBorders>
              <w:top w:val="single" w:color="auto" w:sz="4" w:space="0"/>
              <w:left w:val="single" w:color="auto" w:sz="4" w:space="0"/>
              <w:bottom w:val="single" w:color="auto" w:sz="4" w:space="0"/>
              <w:right w:val="single" w:color="auto" w:sz="4" w:space="0"/>
            </w:tcBorders>
            <w:shd w:val="clear" w:color="auto" w:fill="auto"/>
            <w:noWrap/>
            <w:vAlign w:val="center"/>
          </w:tcPr>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文件主要内容</w:t>
            </w:r>
          </w:p>
        </w:tc>
        <w:tc>
          <w:tcPr>
            <w:tcW w:w="4684" w:type="pct"/>
            <w:gridSpan w:val="3"/>
            <w:tcBorders>
              <w:top w:val="single" w:color="auto" w:sz="4" w:space="0"/>
              <w:left w:val="nil"/>
              <w:bottom w:val="single" w:color="auto" w:sz="4" w:space="0"/>
              <w:right w:val="single" w:color="auto" w:sz="4" w:space="0"/>
            </w:tcBorders>
            <w:shd w:val="clear" w:color="auto" w:fill="auto"/>
            <w:noWrap/>
          </w:tcPr>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第一部分 采购内容及要求</w:t>
            </w:r>
          </w:p>
          <w:p>
            <w:pPr>
              <w:rPr>
                <w:rFonts w:hint="eastAsia" w:ascii="宋体" w:hAnsi="宋体" w:eastAsia="宋体" w:cs="宋体"/>
                <w:b/>
                <w:color w:val="000000" w:themeColor="text1"/>
                <w:kern w:val="0"/>
                <w:sz w:val="24"/>
                <w:shd w:val="clear" w:color="auto" w:fill="FFFFFF"/>
                <w14:textFill>
                  <w14:solidFill>
                    <w14:schemeClr w14:val="tx1"/>
                  </w14:solidFill>
                </w14:textFill>
              </w:rPr>
            </w:pPr>
            <w:bookmarkStart w:id="0" w:name="_Toc473884028"/>
            <w:r>
              <w:rPr>
                <w:rFonts w:hint="eastAsia" w:ascii="宋体" w:hAnsi="宋体" w:eastAsia="宋体" w:cs="宋体"/>
                <w:b/>
                <w:color w:val="000000" w:themeColor="text1"/>
                <w:kern w:val="0"/>
                <w:sz w:val="24"/>
                <w:shd w:val="clear" w:color="auto" w:fill="FFFFFF"/>
                <w14:textFill>
                  <w14:solidFill>
                    <w14:schemeClr w14:val="tx1"/>
                  </w14:solidFill>
                </w14:textFill>
              </w:rPr>
              <w:t>一、项目概述</w:t>
            </w:r>
          </w:p>
          <w:p>
            <w:pPr>
              <w:rPr>
                <w:rFonts w:hint="eastAsia" w:ascii="宋体" w:hAnsi="宋体" w:eastAsia="宋体" w:cs="宋体"/>
                <w:b w:val="0"/>
                <w:bCs/>
                <w:color w:val="000000" w:themeColor="text1"/>
                <w:kern w:val="0"/>
                <w:sz w:val="24"/>
                <w:shd w:val="clear" w:color="auto" w:fill="FFFFFF"/>
                <w14:textFill>
                  <w14:solidFill>
                    <w14:schemeClr w14:val="tx1"/>
                  </w14:solidFill>
                </w14:textFill>
              </w:rPr>
            </w:pPr>
            <w:r>
              <w:rPr>
                <w:rFonts w:hint="eastAsia" w:ascii="宋体" w:hAnsi="宋体" w:eastAsia="宋体" w:cs="宋体"/>
                <w:b w:val="0"/>
                <w:bCs/>
                <w:color w:val="000000" w:themeColor="text1"/>
                <w:kern w:val="0"/>
                <w:sz w:val="24"/>
                <w:shd w:val="clear" w:color="auto" w:fill="FFFFFF"/>
                <w14:textFill>
                  <w14:solidFill>
                    <w14:schemeClr w14:val="tx1"/>
                  </w14:solidFill>
                </w14:textFill>
              </w:rPr>
              <w:t>（1）项目名称：福建龙岩锦泰工贸有限责任公司消防器材定点采购与维护项目</w:t>
            </w:r>
          </w:p>
          <w:p>
            <w:pPr>
              <w:rPr>
                <w:rFonts w:hint="eastAsia" w:ascii="宋体" w:hAnsi="宋体" w:eastAsia="宋体" w:cs="宋体"/>
                <w:b w:val="0"/>
                <w:bCs/>
                <w:color w:val="000000" w:themeColor="text1"/>
                <w:kern w:val="0"/>
                <w:sz w:val="24"/>
                <w:shd w:val="clear" w:color="auto" w:fill="FFFFFF"/>
                <w14:textFill>
                  <w14:solidFill>
                    <w14:schemeClr w14:val="tx1"/>
                  </w14:solidFill>
                </w14:textFill>
              </w:rPr>
            </w:pPr>
            <w:r>
              <w:rPr>
                <w:rFonts w:hint="eastAsia" w:ascii="宋体" w:hAnsi="宋体" w:eastAsia="宋体" w:cs="宋体"/>
                <w:b w:val="0"/>
                <w:bCs/>
                <w:color w:val="000000" w:themeColor="text1"/>
                <w:kern w:val="0"/>
                <w:sz w:val="24"/>
                <w:shd w:val="clear" w:color="auto" w:fill="FFFFFF"/>
                <w14:textFill>
                  <w14:solidFill>
                    <w14:schemeClr w14:val="tx1"/>
                  </w14:solidFill>
                </w14:textFill>
              </w:rPr>
              <w:t>（2）合同期2年，总预算（最高限价）为100000元/2年；合同期内实际采购金额达到预算金额10万元时，本项目合同提前终止，采购人不给予任何赔偿或补偿。</w:t>
            </w:r>
          </w:p>
          <w:p>
            <w:pPr>
              <w:rPr>
                <w:rFonts w:hint="eastAsia" w:ascii="宋体" w:hAnsi="宋体" w:eastAsia="宋体" w:cs="宋体"/>
                <w:b w:val="0"/>
                <w:bCs/>
                <w:color w:val="000000" w:themeColor="text1"/>
                <w:kern w:val="0"/>
                <w:sz w:val="24"/>
                <w:shd w:val="clear" w:color="auto" w:fill="FFFFFF"/>
                <w14:textFill>
                  <w14:solidFill>
                    <w14:schemeClr w14:val="tx1"/>
                  </w14:solidFill>
                </w14:textFill>
              </w:rPr>
            </w:pPr>
            <w:r>
              <w:rPr>
                <w:rFonts w:hint="eastAsia" w:ascii="宋体" w:hAnsi="宋体" w:eastAsia="宋体" w:cs="宋体"/>
                <w:b w:val="0"/>
                <w:bCs/>
                <w:color w:val="000000" w:themeColor="text1"/>
                <w:kern w:val="0"/>
                <w:sz w:val="24"/>
                <w:shd w:val="clear" w:color="auto" w:fill="FFFFFF"/>
                <w14:textFill>
                  <w14:solidFill>
                    <w14:schemeClr w14:val="tx1"/>
                  </w14:solidFill>
                </w14:textFill>
              </w:rPr>
              <w:t>（3）报价要求：</w:t>
            </w:r>
          </w:p>
          <w:p>
            <w:pPr>
              <w:ind w:firstLine="0" w:firstLineChars="0"/>
              <w:rPr>
                <w:rFonts w:hint="eastAsia" w:ascii="宋体" w:hAnsi="宋体" w:eastAsia="宋体" w:cs="宋体"/>
                <w:b w:val="0"/>
                <w:bCs/>
                <w:color w:val="000000" w:themeColor="text1"/>
                <w:kern w:val="0"/>
                <w:sz w:val="24"/>
                <w:shd w:val="clear" w:color="auto" w:fill="FFFFFF"/>
                <w14:textFill>
                  <w14:solidFill>
                    <w14:schemeClr w14:val="tx1"/>
                  </w14:solidFill>
                </w14:textFill>
              </w:rPr>
            </w:pP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begin"/>
            </w:r>
            <w:r>
              <w:rPr>
                <w:rFonts w:hint="eastAsia" w:ascii="宋体" w:hAnsi="宋体" w:eastAsia="宋体" w:cs="宋体"/>
                <w:b w:val="0"/>
                <w:bCs/>
                <w:color w:val="000000" w:themeColor="text1"/>
                <w:kern w:val="0"/>
                <w:sz w:val="24"/>
                <w:shd w:val="clear" w:color="auto" w:fill="FFFFFF"/>
                <w14:textFill>
                  <w14:solidFill>
                    <w14:schemeClr w14:val="tx1"/>
                  </w14:solidFill>
                </w14:textFill>
              </w:rPr>
              <w:instrText xml:space="preserve"> = 1 \* GB3 </w:instrTex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separate"/>
            </w:r>
            <w:r>
              <w:rPr>
                <w:rFonts w:hint="eastAsia" w:ascii="宋体" w:hAnsi="宋体" w:eastAsia="宋体" w:cs="宋体"/>
                <w:b w:val="0"/>
                <w:bCs/>
                <w:color w:val="000000" w:themeColor="text1"/>
                <w:kern w:val="0"/>
                <w:sz w:val="24"/>
                <w:shd w:val="clear" w:color="auto" w:fill="FFFFFF"/>
                <w14:textFill>
                  <w14:solidFill>
                    <w14:schemeClr w14:val="tx1"/>
                  </w14:solidFill>
                </w14:textFill>
              </w:rPr>
              <w:t>①</w: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end"/>
            </w:r>
            <w:r>
              <w:rPr>
                <w:rFonts w:hint="eastAsia" w:ascii="宋体" w:hAnsi="宋体" w:eastAsia="宋体" w:cs="宋体"/>
                <w:b w:val="0"/>
                <w:bCs/>
                <w:color w:val="000000" w:themeColor="text1"/>
                <w:kern w:val="0"/>
                <w:sz w:val="24"/>
                <w:shd w:val="clear" w:color="auto" w:fill="FFFFFF"/>
                <w14:textFill>
                  <w14:solidFill>
                    <w14:schemeClr w14:val="tx1"/>
                  </w14:solidFill>
                </w14:textFill>
              </w:rPr>
              <w:t>各报价人根据“采购清单及技术参数、要求”表格中的各项品名投报统一下浮率，结算价=预算单价*（1-统一下浮率）；</w:t>
            </w:r>
          </w:p>
          <w:p>
            <w:pPr>
              <w:ind w:firstLine="0" w:firstLineChars="0"/>
              <w:rPr>
                <w:rFonts w:hint="eastAsia" w:ascii="宋体" w:hAnsi="宋体" w:eastAsia="宋体" w:cs="宋体"/>
                <w:b w:val="0"/>
                <w:bCs/>
                <w:color w:val="000000" w:themeColor="text1"/>
                <w:kern w:val="0"/>
                <w:sz w:val="24"/>
                <w:shd w:val="clear" w:color="auto" w:fill="FFFFFF"/>
                <w14:textFill>
                  <w14:solidFill>
                    <w14:schemeClr w14:val="tx1"/>
                  </w14:solidFill>
                </w14:textFill>
              </w:rPr>
            </w:pP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begin"/>
            </w:r>
            <w:r>
              <w:rPr>
                <w:rFonts w:hint="eastAsia" w:ascii="宋体" w:hAnsi="宋体" w:eastAsia="宋体" w:cs="宋体"/>
                <w:b w:val="0"/>
                <w:bCs/>
                <w:color w:val="000000" w:themeColor="text1"/>
                <w:kern w:val="0"/>
                <w:sz w:val="24"/>
                <w:shd w:val="clear" w:color="auto" w:fill="FFFFFF"/>
                <w14:textFill>
                  <w14:solidFill>
                    <w14:schemeClr w14:val="tx1"/>
                  </w14:solidFill>
                </w14:textFill>
              </w:rPr>
              <w:instrText xml:space="preserve"> = 2 \* GB3 </w:instrTex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separate"/>
            </w:r>
            <w:r>
              <w:rPr>
                <w:rFonts w:hint="eastAsia" w:ascii="宋体" w:hAnsi="宋体" w:eastAsia="宋体" w:cs="宋体"/>
                <w:b w:val="0"/>
                <w:bCs/>
                <w:color w:val="000000" w:themeColor="text1"/>
                <w:kern w:val="0"/>
                <w:sz w:val="24"/>
                <w:shd w:val="clear" w:color="auto" w:fill="FFFFFF"/>
                <w14:textFill>
                  <w14:solidFill>
                    <w14:schemeClr w14:val="tx1"/>
                  </w14:solidFill>
                </w14:textFill>
              </w:rPr>
              <w:t>②</w: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end"/>
            </w:r>
            <w:r>
              <w:rPr>
                <w:rFonts w:hint="eastAsia" w:ascii="宋体" w:hAnsi="宋体" w:eastAsia="宋体" w:cs="宋体"/>
                <w:b w:val="0"/>
                <w:bCs/>
                <w:color w:val="000000" w:themeColor="text1"/>
                <w:kern w:val="0"/>
                <w:sz w:val="24"/>
                <w:shd w:val="clear" w:color="auto" w:fill="FFFFFF"/>
                <w14:textFill>
                  <w14:solidFill>
                    <w14:schemeClr w14:val="tx1"/>
                  </w14:solidFill>
                </w14:textFill>
              </w:rPr>
              <w:t>报价人须填写所报货物的产地、品牌、生产厂家等内容；</w:t>
            </w:r>
          </w:p>
          <w:p>
            <w:pPr>
              <w:ind w:firstLine="0" w:firstLineChars="0"/>
              <w:rPr>
                <w:rFonts w:hint="eastAsia" w:ascii="宋体" w:hAnsi="宋体" w:eastAsia="宋体" w:cs="宋体"/>
                <w:b w:val="0"/>
                <w:bCs/>
                <w:color w:val="000000" w:themeColor="text1"/>
                <w:kern w:val="0"/>
                <w:sz w:val="24"/>
                <w:shd w:val="clear" w:color="auto" w:fill="FFFFFF"/>
                <w14:textFill>
                  <w14:solidFill>
                    <w14:schemeClr w14:val="tx1"/>
                  </w14:solidFill>
                </w14:textFill>
              </w:rPr>
            </w:pP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begin"/>
            </w:r>
            <w:r>
              <w:rPr>
                <w:rFonts w:hint="eastAsia" w:ascii="宋体" w:hAnsi="宋体" w:eastAsia="宋体" w:cs="宋体"/>
                <w:b w:val="0"/>
                <w:bCs/>
                <w:color w:val="000000" w:themeColor="text1"/>
                <w:kern w:val="0"/>
                <w:sz w:val="24"/>
                <w:shd w:val="clear" w:color="auto" w:fill="FFFFFF"/>
                <w14:textFill>
                  <w14:solidFill>
                    <w14:schemeClr w14:val="tx1"/>
                  </w14:solidFill>
                </w14:textFill>
              </w:rPr>
              <w:instrText xml:space="preserve"> = 3 \* GB3 </w:instrTex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separate"/>
            </w:r>
            <w:r>
              <w:rPr>
                <w:rFonts w:hint="eastAsia" w:ascii="宋体" w:hAnsi="宋体" w:eastAsia="宋体" w:cs="宋体"/>
                <w:b w:val="0"/>
                <w:bCs/>
                <w:color w:val="000000" w:themeColor="text1"/>
                <w:kern w:val="0"/>
                <w:sz w:val="24"/>
                <w:shd w:val="clear" w:color="auto" w:fill="FFFFFF"/>
                <w14:textFill>
                  <w14:solidFill>
                    <w14:schemeClr w14:val="tx1"/>
                  </w14:solidFill>
                </w14:textFill>
              </w:rPr>
              <w:t>③</w: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end"/>
            </w:r>
            <w:r>
              <w:rPr>
                <w:rFonts w:hint="eastAsia" w:ascii="宋体" w:hAnsi="宋体" w:eastAsia="宋体" w:cs="宋体"/>
                <w:b w:val="0"/>
                <w:bCs/>
                <w:color w:val="000000" w:themeColor="text1"/>
                <w:kern w:val="0"/>
                <w:sz w:val="24"/>
                <w:shd w:val="clear" w:color="auto" w:fill="FFFFFF"/>
                <w14:textFill>
                  <w14:solidFill>
                    <w14:schemeClr w14:val="tx1"/>
                  </w14:solidFill>
                </w14:textFill>
              </w:rPr>
              <w:t>若采购人在合同期内需采购清单外产品/服务，则根据市场价按成交下浮率进行下浮结算；</w:t>
            </w:r>
          </w:p>
          <w:p>
            <w:pPr>
              <w:ind w:firstLine="0" w:firstLineChars="0"/>
              <w:rPr>
                <w:rFonts w:hint="eastAsia" w:ascii="宋体" w:hAnsi="宋体" w:eastAsia="宋体" w:cs="宋体"/>
                <w:b w:val="0"/>
                <w:bCs/>
                <w:color w:val="000000" w:themeColor="text1"/>
                <w:kern w:val="0"/>
                <w:sz w:val="24"/>
                <w:shd w:val="clear" w:color="auto" w:fill="FFFFFF"/>
                <w14:textFill>
                  <w14:solidFill>
                    <w14:schemeClr w14:val="tx1"/>
                  </w14:solidFill>
                </w14:textFill>
              </w:rPr>
            </w:pP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begin"/>
            </w:r>
            <w:r>
              <w:rPr>
                <w:rFonts w:hint="eastAsia" w:ascii="宋体" w:hAnsi="宋体" w:eastAsia="宋体" w:cs="宋体"/>
                <w:b w:val="0"/>
                <w:bCs/>
                <w:color w:val="000000" w:themeColor="text1"/>
                <w:kern w:val="0"/>
                <w:sz w:val="24"/>
                <w:shd w:val="clear" w:color="auto" w:fill="FFFFFF"/>
                <w14:textFill>
                  <w14:solidFill>
                    <w14:schemeClr w14:val="tx1"/>
                  </w14:solidFill>
                </w14:textFill>
              </w:rPr>
              <w:instrText xml:space="preserve"> = 4 \* GB3 </w:instrTex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separate"/>
            </w:r>
            <w:r>
              <w:rPr>
                <w:rFonts w:hint="eastAsia" w:ascii="宋体" w:hAnsi="宋体" w:eastAsia="宋体" w:cs="宋体"/>
                <w:b w:val="0"/>
                <w:bCs/>
                <w:color w:val="000000" w:themeColor="text1"/>
                <w:kern w:val="0"/>
                <w:sz w:val="24"/>
                <w:shd w:val="clear" w:color="auto" w:fill="FFFFFF"/>
                <w14:textFill>
                  <w14:solidFill>
                    <w14:schemeClr w14:val="tx1"/>
                  </w14:solidFill>
                </w14:textFill>
              </w:rPr>
              <w:t>④</w:t>
            </w:r>
            <w:r>
              <w:rPr>
                <w:rFonts w:hint="eastAsia" w:ascii="宋体" w:hAnsi="宋体" w:eastAsia="宋体" w:cs="宋体"/>
                <w:b w:val="0"/>
                <w:bCs/>
                <w:color w:val="000000" w:themeColor="text1"/>
                <w:kern w:val="0"/>
                <w:sz w:val="24"/>
                <w:shd w:val="clear" w:color="auto" w:fill="FFFFFF"/>
                <w14:textFill>
                  <w14:solidFill>
                    <w14:schemeClr w14:val="tx1"/>
                  </w14:solidFill>
                </w14:textFill>
              </w:rPr>
              <w:fldChar w:fldCharType="end"/>
            </w:r>
            <w:r>
              <w:rPr>
                <w:rFonts w:hint="eastAsia" w:ascii="宋体" w:hAnsi="宋体" w:eastAsia="宋体" w:cs="宋体"/>
                <w:b w:val="0"/>
                <w:bCs/>
                <w:color w:val="000000" w:themeColor="text1"/>
                <w:kern w:val="0"/>
                <w:sz w:val="24"/>
                <w:shd w:val="clear" w:color="auto" w:fill="FFFFFF"/>
                <w14:textFill>
                  <w14:solidFill>
                    <w14:schemeClr w14:val="tx1"/>
                  </w14:solidFill>
                </w14:textFill>
              </w:rPr>
              <w:t>各投报人报价时应以包括项目所涉及的有关项目的所有费用进行报价，包括但不限于：运输、产品、税金、人工、包装等。</w:t>
            </w: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二、</w:t>
            </w:r>
            <w:bookmarkEnd w:id="0"/>
            <w:bookmarkStart w:id="1" w:name="_Toc451876424"/>
            <w:r>
              <w:rPr>
                <w:rFonts w:hint="eastAsia" w:ascii="宋体" w:hAnsi="宋体" w:eastAsia="宋体" w:cs="宋体"/>
                <w:b/>
                <w:color w:val="000000" w:themeColor="text1"/>
                <w:kern w:val="0"/>
                <w:sz w:val="24"/>
                <w:shd w:val="clear" w:color="auto" w:fill="FFFFFF"/>
                <w14:textFill>
                  <w14:solidFill>
                    <w14:schemeClr w14:val="tx1"/>
                  </w14:solidFill>
                </w14:textFill>
              </w:rPr>
              <w:t>采购清单及技术参数、要求</w:t>
            </w:r>
          </w:p>
          <w:tbl>
            <w:tblPr>
              <w:tblStyle w:val="9"/>
              <w:tblW w:w="7963" w:type="dxa"/>
              <w:tblInd w:w="-88" w:type="dxa"/>
              <w:tblLayout w:type="fixed"/>
              <w:tblCellMar>
                <w:top w:w="0" w:type="dxa"/>
                <w:left w:w="108" w:type="dxa"/>
                <w:bottom w:w="0" w:type="dxa"/>
                <w:right w:w="108" w:type="dxa"/>
              </w:tblCellMar>
            </w:tblPr>
            <w:tblGrid>
              <w:gridCol w:w="459"/>
              <w:gridCol w:w="1950"/>
              <w:gridCol w:w="3720"/>
              <w:gridCol w:w="658"/>
              <w:gridCol w:w="456"/>
              <w:gridCol w:w="720"/>
            </w:tblGrid>
            <w:tr>
              <w:tblPrEx>
                <w:tblCellMar>
                  <w:top w:w="0" w:type="dxa"/>
                  <w:left w:w="108" w:type="dxa"/>
                  <w:bottom w:w="0" w:type="dxa"/>
                  <w:right w:w="108" w:type="dxa"/>
                </w:tblCellMar>
              </w:tblPrEx>
              <w:trPr>
                <w:trHeight w:val="570" w:hRule="atLeast"/>
              </w:trPr>
              <w:tc>
                <w:tcPr>
                  <w:tcW w:w="288"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4"/>
                    </w:rPr>
                  </w:pPr>
                  <w:bookmarkStart w:id="2" w:name="_Toc473884029"/>
                  <w:r>
                    <w:rPr>
                      <w:rFonts w:hint="eastAsia" w:ascii="宋体" w:hAnsi="宋体" w:cs="宋体"/>
                      <w:color w:val="000000"/>
                      <w:kern w:val="0"/>
                      <w:sz w:val="24"/>
                    </w:rPr>
                    <w:t>序号</w:t>
                  </w:r>
                </w:p>
              </w:tc>
              <w:tc>
                <w:tcPr>
                  <w:tcW w:w="1224" w:type="pct"/>
                  <w:tcBorders>
                    <w:top w:val="single" w:color="auto" w:sz="4" w:space="0"/>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4"/>
                    </w:rPr>
                  </w:pPr>
                  <w:r>
                    <w:rPr>
                      <w:rFonts w:hint="eastAsia" w:ascii="宋体" w:hAnsi="宋体" w:cs="宋体"/>
                      <w:color w:val="000000"/>
                      <w:kern w:val="0"/>
                      <w:sz w:val="24"/>
                    </w:rPr>
                    <w:t>设备名称</w:t>
                  </w:r>
                </w:p>
              </w:tc>
              <w:tc>
                <w:tcPr>
                  <w:tcW w:w="2335" w:type="pct"/>
                  <w:tcBorders>
                    <w:top w:val="single" w:color="auto" w:sz="4" w:space="0"/>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4"/>
                    </w:rPr>
                  </w:pPr>
                  <w:r>
                    <w:rPr>
                      <w:rFonts w:hint="eastAsia" w:ascii="宋体" w:hAnsi="宋体" w:cs="宋体"/>
                      <w:color w:val="000000"/>
                      <w:kern w:val="0"/>
                      <w:sz w:val="24"/>
                    </w:rPr>
                    <w:t>技术服务要求</w:t>
                  </w:r>
                </w:p>
              </w:tc>
              <w:tc>
                <w:tcPr>
                  <w:tcW w:w="413" w:type="pct"/>
                  <w:tcBorders>
                    <w:top w:val="single" w:color="auto" w:sz="4" w:space="0"/>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4"/>
                    </w:rPr>
                  </w:pPr>
                  <w:r>
                    <w:rPr>
                      <w:rFonts w:hint="eastAsia" w:ascii="宋体" w:hAnsi="宋体" w:cs="宋体"/>
                      <w:color w:val="000000"/>
                      <w:kern w:val="0"/>
                      <w:sz w:val="24"/>
                    </w:rPr>
                    <w:t>数量</w:t>
                  </w:r>
                </w:p>
              </w:tc>
              <w:tc>
                <w:tcPr>
                  <w:tcW w:w="286" w:type="pct"/>
                  <w:tcBorders>
                    <w:top w:val="single" w:color="auto" w:sz="4" w:space="0"/>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4"/>
                    </w:rPr>
                  </w:pPr>
                  <w:r>
                    <w:rPr>
                      <w:rFonts w:hint="eastAsia" w:ascii="宋体" w:hAnsi="宋体" w:cs="宋体"/>
                      <w:color w:val="000000"/>
                      <w:kern w:val="0"/>
                      <w:sz w:val="24"/>
                    </w:rPr>
                    <w:t>单位</w:t>
                  </w:r>
                </w:p>
              </w:tc>
              <w:tc>
                <w:tcPr>
                  <w:tcW w:w="452" w:type="pct"/>
                  <w:tcBorders>
                    <w:top w:val="single" w:color="auto" w:sz="4" w:space="0"/>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24"/>
                    </w:rPr>
                  </w:pPr>
                  <w:r>
                    <w:rPr>
                      <w:rFonts w:hint="eastAsia" w:ascii="宋体" w:hAnsi="宋体" w:cs="宋体"/>
                      <w:color w:val="000000"/>
                      <w:kern w:val="0"/>
                      <w:sz w:val="24"/>
                    </w:rPr>
                    <w:t>预算单价</w:t>
                  </w:r>
                </w:p>
              </w:tc>
            </w:tr>
            <w:tr>
              <w:tblPrEx>
                <w:tblCellMar>
                  <w:top w:w="0" w:type="dxa"/>
                  <w:left w:w="108" w:type="dxa"/>
                  <w:bottom w:w="0" w:type="dxa"/>
                  <w:right w:w="108" w:type="dxa"/>
                </w:tblCellMar>
              </w:tblPrEx>
              <w:trPr>
                <w:trHeight w:val="1038"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ABC干粉灭火器</w:t>
                  </w:r>
                </w:p>
              </w:tc>
              <w:tc>
                <w:tcPr>
                  <w:tcW w:w="2335" w:type="pct"/>
                  <w:tcBorders>
                    <w:top w:val="nil"/>
                    <w:left w:val="nil"/>
                    <w:bottom w:val="single" w:color="auto" w:sz="4" w:space="0"/>
                    <w:right w:val="single" w:color="auto" w:sz="4" w:space="0"/>
                  </w:tcBorders>
                  <w:shd w:val="clear" w:color="auto" w:fill="auto"/>
                  <w:noWrap w:val="0"/>
                  <w:vAlign w:val="center"/>
                </w:tcPr>
                <w:p>
                  <w:pPr>
                    <w:widowControl/>
                    <w:spacing w:before="0" w:beforeLines="-2147483648"/>
                    <w:jc w:val="left"/>
                    <w:rPr>
                      <w:rFonts w:ascii="宋体" w:hAnsi="宋体" w:cs="宋体"/>
                      <w:color w:val="auto"/>
                      <w:kern w:val="0"/>
                      <w:sz w:val="18"/>
                      <w:szCs w:val="18"/>
                    </w:rPr>
                  </w:pPr>
                  <w:r>
                    <w:rPr>
                      <w:rFonts w:hint="eastAsia" w:ascii="宋体" w:hAnsi="宋体" w:cs="宋体"/>
                      <w:color w:val="auto"/>
                      <w:kern w:val="0"/>
                      <w:sz w:val="18"/>
                      <w:szCs w:val="18"/>
                    </w:rPr>
                    <w:t>1KG，有效喷射距离大于等于3.5米，喷射剩余率小于等于15%，灭火级别1A\21B\C\E,驱动氮气压力1.2MPa，使用温度-10度至55度。</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tabs>
                      <w:tab w:val="left" w:pos="389"/>
                    </w:tabs>
                    <w:jc w:val="left"/>
                    <w:rPr>
                      <w:rFonts w:hint="eastAsia" w:ascii="宋体" w:hAnsi="宋体" w:cs="宋体" w:eastAsiaTheme="minorEastAsia"/>
                      <w:color w:val="000000"/>
                      <w:kern w:val="0"/>
                      <w:sz w:val="18"/>
                      <w:lang w:eastAsia="zh-CN"/>
                    </w:rPr>
                  </w:pPr>
                  <w:r>
                    <w:rPr>
                      <w:rFonts w:hint="eastAsia" w:ascii="宋体" w:hAnsi="宋体" w:cs="宋体"/>
                      <w:color w:val="000000"/>
                      <w:kern w:val="0"/>
                      <w:sz w:val="18"/>
                    </w:rPr>
                    <w:t>42</w:t>
                  </w:r>
                </w:p>
              </w:tc>
            </w:tr>
            <w:tr>
              <w:tblPrEx>
                <w:tblCellMar>
                  <w:top w:w="0" w:type="dxa"/>
                  <w:left w:w="108" w:type="dxa"/>
                  <w:bottom w:w="0" w:type="dxa"/>
                  <w:right w:w="108" w:type="dxa"/>
                </w:tblCellMar>
              </w:tblPrEx>
              <w:trPr>
                <w:trHeight w:val="1014"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ABC干粉灭火器</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4KG，有效喷射距离大于等于3.5米，喷射剩余率小于等于15%，灭火级别2A\55B\C\E,驱动氮气压力1.2MPa，使用温度-10度至55度。</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65</w:t>
                  </w:r>
                </w:p>
              </w:tc>
            </w:tr>
            <w:tr>
              <w:tblPrEx>
                <w:tblCellMar>
                  <w:top w:w="0" w:type="dxa"/>
                  <w:left w:w="108" w:type="dxa"/>
                  <w:bottom w:w="0" w:type="dxa"/>
                  <w:right w:w="108" w:type="dxa"/>
                </w:tblCellMar>
              </w:tblPrEx>
              <w:trPr>
                <w:trHeight w:val="900"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手推式ABC干粉灭火器</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35KG，有效喷射距离大于等于6米，喷射剩余率小于等于10%，灭火级别4A\144B,驱动氮气压力1.2MPa，使用温度-10度至55度。</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545</w:t>
                  </w:r>
                </w:p>
              </w:tc>
            </w:tr>
            <w:tr>
              <w:tblPrEx>
                <w:tblCellMar>
                  <w:top w:w="0" w:type="dxa"/>
                  <w:left w:w="108" w:type="dxa"/>
                  <w:bottom w:w="0" w:type="dxa"/>
                  <w:right w:w="108" w:type="dxa"/>
                </w:tblCellMar>
              </w:tblPrEx>
              <w:trPr>
                <w:trHeight w:val="91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二氧化碳灭火器</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3KG,灭火级别21B，有效喷射时间大于等于8秒，喷射距离大于等于2.5米，使用温度-10度至55度</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146</w:t>
                  </w:r>
                </w:p>
              </w:tc>
            </w:tr>
            <w:tr>
              <w:tblPrEx>
                <w:tblCellMar>
                  <w:top w:w="0" w:type="dxa"/>
                  <w:left w:w="108" w:type="dxa"/>
                  <w:bottom w:w="0" w:type="dxa"/>
                  <w:right w:w="108" w:type="dxa"/>
                </w:tblCellMar>
              </w:tblPrEx>
              <w:trPr>
                <w:trHeight w:val="73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ABC干粉灭火器更换药剂检测</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1KG,含检测、零星配件、运输、装卸费用，直至能够正常使用。</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25</w:t>
                  </w:r>
                </w:p>
              </w:tc>
            </w:tr>
            <w:tr>
              <w:tblPrEx>
                <w:tblCellMar>
                  <w:top w:w="0" w:type="dxa"/>
                  <w:left w:w="108" w:type="dxa"/>
                  <w:bottom w:w="0" w:type="dxa"/>
                  <w:right w:w="108" w:type="dxa"/>
                </w:tblCellMar>
              </w:tblPrEx>
              <w:trPr>
                <w:trHeight w:val="690"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6</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ABC干粉灭火器更换药剂检测</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4KG,含检测、零星配件、运输、装卸费用，直至能够正常使用。</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42</w:t>
                  </w:r>
                </w:p>
              </w:tc>
            </w:tr>
            <w:tr>
              <w:tblPrEx>
                <w:tblCellMar>
                  <w:top w:w="0" w:type="dxa"/>
                  <w:left w:w="108" w:type="dxa"/>
                  <w:bottom w:w="0" w:type="dxa"/>
                  <w:right w:w="108" w:type="dxa"/>
                </w:tblCellMar>
              </w:tblPrEx>
              <w:trPr>
                <w:trHeight w:val="618"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7</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推车式ABC干粉灭火器更换药剂检测</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35KG,含检测、零星配件、运输、装卸费用，直至能够正常使用。</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245</w:t>
                  </w:r>
                </w:p>
              </w:tc>
            </w:tr>
            <w:tr>
              <w:tblPrEx>
                <w:tblCellMar>
                  <w:top w:w="0" w:type="dxa"/>
                  <w:left w:w="108" w:type="dxa"/>
                  <w:bottom w:w="0" w:type="dxa"/>
                  <w:right w:w="108" w:type="dxa"/>
                </w:tblCellMar>
              </w:tblPrEx>
              <w:trPr>
                <w:trHeight w:val="750"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8</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二氧化碳灭火器更换药剂检测</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3KG,含检测、零星配件、运输、装卸费用，直至能够正常使用。</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58</w:t>
                  </w:r>
                </w:p>
              </w:tc>
            </w:tr>
            <w:tr>
              <w:tblPrEx>
                <w:tblCellMar>
                  <w:top w:w="0" w:type="dxa"/>
                  <w:left w:w="108" w:type="dxa"/>
                  <w:bottom w:w="0" w:type="dxa"/>
                  <w:right w:w="108" w:type="dxa"/>
                </w:tblCellMar>
              </w:tblPrEx>
              <w:trPr>
                <w:trHeight w:val="35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9</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干粉灭火器出粉管</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4KG</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根</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8</w:t>
                  </w:r>
                </w:p>
              </w:tc>
            </w:tr>
            <w:tr>
              <w:tblPrEx>
                <w:tblCellMar>
                  <w:top w:w="0" w:type="dxa"/>
                  <w:left w:w="108" w:type="dxa"/>
                  <w:bottom w:w="0" w:type="dxa"/>
                  <w:right w:w="108" w:type="dxa"/>
                </w:tblCellMar>
              </w:tblPrEx>
              <w:trPr>
                <w:trHeight w:val="393"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10</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推车式灭火器出粉管</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35KG</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条</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50</w:t>
                  </w:r>
                </w:p>
              </w:tc>
            </w:tr>
            <w:tr>
              <w:tblPrEx>
                <w:tblCellMar>
                  <w:top w:w="0" w:type="dxa"/>
                  <w:left w:w="108" w:type="dxa"/>
                  <w:bottom w:w="0" w:type="dxa"/>
                  <w:right w:w="108" w:type="dxa"/>
                </w:tblCellMar>
              </w:tblPrEx>
              <w:trPr>
                <w:trHeight w:val="29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11</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干粉灭火器箱</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4KG*2</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55</w:t>
                  </w:r>
                </w:p>
              </w:tc>
            </w:tr>
            <w:tr>
              <w:tblPrEx>
                <w:tblCellMar>
                  <w:top w:w="0" w:type="dxa"/>
                  <w:left w:w="108" w:type="dxa"/>
                  <w:bottom w:w="0" w:type="dxa"/>
                  <w:right w:w="108" w:type="dxa"/>
                </w:tblCellMar>
              </w:tblPrEx>
              <w:trPr>
                <w:trHeight w:val="3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12</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二氧化碳灭火器箱</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3KG*2</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78</w:t>
                  </w:r>
                </w:p>
              </w:tc>
            </w:tr>
            <w:tr>
              <w:tblPrEx>
                <w:tblCellMar>
                  <w:top w:w="0" w:type="dxa"/>
                  <w:left w:w="108" w:type="dxa"/>
                  <w:bottom w:w="0" w:type="dxa"/>
                  <w:right w:w="108" w:type="dxa"/>
                </w:tblCellMar>
              </w:tblPrEx>
              <w:trPr>
                <w:trHeight w:val="277"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13</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灭火器标识牌</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张</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9</w:t>
                  </w:r>
                </w:p>
              </w:tc>
            </w:tr>
            <w:tr>
              <w:tblPrEx>
                <w:tblCellMar>
                  <w:top w:w="0" w:type="dxa"/>
                  <w:left w:w="108" w:type="dxa"/>
                  <w:bottom w:w="0" w:type="dxa"/>
                  <w:right w:w="108" w:type="dxa"/>
                </w:tblCellMar>
              </w:tblPrEx>
              <w:trPr>
                <w:trHeight w:val="381"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14</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灭火器使用方法标识牌</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17.8*34.6</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张</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9</w:t>
                  </w:r>
                </w:p>
              </w:tc>
            </w:tr>
            <w:tr>
              <w:tblPrEx>
                <w:tblCellMar>
                  <w:top w:w="0" w:type="dxa"/>
                  <w:left w:w="108" w:type="dxa"/>
                  <w:bottom w:w="0" w:type="dxa"/>
                  <w:right w:w="108" w:type="dxa"/>
                </w:tblCellMar>
              </w:tblPrEx>
              <w:trPr>
                <w:trHeight w:val="414"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15</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消火栓使用方法标识牌</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50*60</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张</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16</w:t>
                  </w:r>
                </w:p>
              </w:tc>
            </w:tr>
            <w:tr>
              <w:tblPrEx>
                <w:tblCellMar>
                  <w:top w:w="0" w:type="dxa"/>
                  <w:left w:w="108" w:type="dxa"/>
                  <w:bottom w:w="0" w:type="dxa"/>
                  <w:right w:w="108" w:type="dxa"/>
                </w:tblCellMar>
              </w:tblPrEx>
              <w:trPr>
                <w:trHeight w:val="383"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16</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消火栓封条</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10*40</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张</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10</w:t>
                  </w:r>
                </w:p>
              </w:tc>
            </w:tr>
            <w:tr>
              <w:tblPrEx>
                <w:tblCellMar>
                  <w:top w:w="0" w:type="dxa"/>
                  <w:left w:w="108" w:type="dxa"/>
                  <w:bottom w:w="0" w:type="dxa"/>
                  <w:right w:w="108" w:type="dxa"/>
                </w:tblCellMar>
              </w:tblPrEx>
              <w:trPr>
                <w:trHeight w:val="313"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17</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消防水带</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8-65-25</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条</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130</w:t>
                  </w:r>
                </w:p>
              </w:tc>
            </w:tr>
            <w:tr>
              <w:tblPrEx>
                <w:tblCellMar>
                  <w:top w:w="0" w:type="dxa"/>
                  <w:left w:w="108" w:type="dxa"/>
                  <w:bottom w:w="0" w:type="dxa"/>
                  <w:right w:w="108" w:type="dxa"/>
                </w:tblCellMar>
              </w:tblPrEx>
              <w:trPr>
                <w:trHeight w:val="341"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18</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消防水枪</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Φ65</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28</w:t>
                  </w:r>
                </w:p>
              </w:tc>
            </w:tr>
            <w:tr>
              <w:tblPrEx>
                <w:tblCellMar>
                  <w:top w:w="0" w:type="dxa"/>
                  <w:left w:w="108" w:type="dxa"/>
                  <w:bottom w:w="0" w:type="dxa"/>
                  <w:right w:w="108" w:type="dxa"/>
                </w:tblCellMar>
              </w:tblPrEx>
              <w:trPr>
                <w:trHeight w:val="347"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19</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内扣式消防水带接口</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Φ65</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28</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20</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消防水带</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8-50-25</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条</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120</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21</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消防水枪</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Φ50</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25</w:t>
                  </w:r>
                </w:p>
              </w:tc>
            </w:tr>
            <w:tr>
              <w:tblPrEx>
                <w:tblCellMar>
                  <w:top w:w="0" w:type="dxa"/>
                  <w:left w:w="108" w:type="dxa"/>
                  <w:bottom w:w="0" w:type="dxa"/>
                  <w:right w:w="108" w:type="dxa"/>
                </w:tblCellMar>
              </w:tblPrEx>
              <w:trPr>
                <w:trHeight w:val="407"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22</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内扣式消防水带接口</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Φ50</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25</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23</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消防软管卷盘</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25米</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套</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125</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24</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室内消火栓栓头</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Φ65</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65</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25</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室外消火栓</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SS100/65-1.6（含弯头）</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套</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650</w:t>
                  </w:r>
                </w:p>
              </w:tc>
            </w:tr>
            <w:tr>
              <w:tblPrEx>
                <w:tblCellMar>
                  <w:top w:w="0" w:type="dxa"/>
                  <w:left w:w="108" w:type="dxa"/>
                  <w:bottom w:w="0" w:type="dxa"/>
                  <w:right w:w="108" w:type="dxa"/>
                </w:tblCellMar>
              </w:tblPrEx>
              <w:trPr>
                <w:trHeight w:val="570"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26</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大消火栓箱</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1800*700*240（SG24D65）两开门</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320</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27</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小消火栓箱</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300*360*240</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95</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28</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消火栓箱有机片</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1055*565（印消火栓）</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片</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30</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29</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灭火器箱有机片</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530*565（印灭火器）</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片</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16</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30</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消火栓箱有机片</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235*180（印消火栓）</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片</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12</w:t>
                  </w:r>
                </w:p>
              </w:tc>
            </w:tr>
            <w:tr>
              <w:tblPrEx>
                <w:tblCellMar>
                  <w:top w:w="0" w:type="dxa"/>
                  <w:left w:w="108" w:type="dxa"/>
                  <w:bottom w:w="0" w:type="dxa"/>
                  <w:right w:w="108" w:type="dxa"/>
                </w:tblCellMar>
              </w:tblPrEx>
              <w:trPr>
                <w:trHeight w:val="960"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31</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手动报警按钮</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20"/>
                    </w:rPr>
                  </w:pPr>
                  <w:r>
                    <w:rPr>
                      <w:rFonts w:hint="eastAsia" w:ascii="宋体" w:hAnsi="宋体" w:cs="宋体"/>
                      <w:color w:val="000000"/>
                      <w:kern w:val="0"/>
                      <w:sz w:val="18"/>
                      <w:szCs w:val="20"/>
                    </w:rPr>
                    <w:t xml:space="preserve"> 电子编码，含电话插孔，二线接信号总线，二线接GST-LD-8304消防电话接口</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套</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65</w:t>
                  </w:r>
                </w:p>
              </w:tc>
            </w:tr>
            <w:tr>
              <w:tblPrEx>
                <w:tblCellMar>
                  <w:top w:w="0" w:type="dxa"/>
                  <w:left w:w="108" w:type="dxa"/>
                  <w:bottom w:w="0" w:type="dxa"/>
                  <w:right w:w="108" w:type="dxa"/>
                </w:tblCellMar>
              </w:tblPrEx>
              <w:trPr>
                <w:trHeight w:val="1339"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32</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消火栓按钮</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20"/>
                    </w:rPr>
                  </w:pPr>
                  <w:r>
                    <w:rPr>
                      <w:rFonts w:hint="eastAsia" w:ascii="宋体" w:hAnsi="宋体" w:cs="宋体"/>
                      <w:color w:val="000000"/>
                      <w:kern w:val="0"/>
                      <w:sz w:val="18"/>
                      <w:szCs w:val="20"/>
                    </w:rPr>
                    <w:t xml:space="preserve"> 电子编码，可恢复型。本按钮采用二线制与设备连接，可完成对设备的启动，由火灾报警控制器确认消防水泵的启动运行后，点亮回答指示灯。防护等级IP43</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套</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55</w:t>
                  </w:r>
                </w:p>
              </w:tc>
            </w:tr>
            <w:tr>
              <w:tblPrEx>
                <w:tblCellMar>
                  <w:top w:w="0" w:type="dxa"/>
                  <w:left w:w="108" w:type="dxa"/>
                  <w:bottom w:w="0" w:type="dxa"/>
                  <w:right w:w="108" w:type="dxa"/>
                </w:tblCellMar>
              </w:tblPrEx>
              <w:trPr>
                <w:trHeight w:val="544"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33</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声光报警器</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szCs w:val="22"/>
                    </w:rPr>
                  </w:pPr>
                  <w:r>
                    <w:rPr>
                      <w:rFonts w:hint="eastAsia" w:ascii="宋体" w:hAnsi="宋体" w:cs="宋体"/>
                      <w:color w:val="000000"/>
                      <w:kern w:val="0"/>
                      <w:sz w:val="18"/>
                      <w:szCs w:val="22"/>
                    </w:rPr>
                    <w:t xml:space="preserve"> 电子编码，启动后发出强烈的声光警号。</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套</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86</w:t>
                  </w:r>
                </w:p>
              </w:tc>
            </w:tr>
            <w:tr>
              <w:tblPrEx>
                <w:tblCellMar>
                  <w:top w:w="0" w:type="dxa"/>
                  <w:left w:w="108" w:type="dxa"/>
                  <w:bottom w:w="0" w:type="dxa"/>
                  <w:right w:w="108" w:type="dxa"/>
                </w:tblCellMar>
              </w:tblPrEx>
              <w:trPr>
                <w:trHeight w:val="570"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34</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安全出口标志灯</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 xml:space="preserve">暗装单面 360*164*25mm 应急时间≥90min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盏</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50</w:t>
                  </w:r>
                </w:p>
              </w:tc>
            </w:tr>
            <w:tr>
              <w:tblPrEx>
                <w:tblCellMar>
                  <w:top w:w="0" w:type="dxa"/>
                  <w:left w:w="108" w:type="dxa"/>
                  <w:bottom w:w="0" w:type="dxa"/>
                  <w:right w:w="108" w:type="dxa"/>
                </w:tblCellMar>
              </w:tblPrEx>
              <w:trPr>
                <w:trHeight w:val="524"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35</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疏散指示标志灯</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双面3种方向  342*157*23.5mm        应急时间≥90min</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盏</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40</w:t>
                  </w:r>
                </w:p>
              </w:tc>
            </w:tr>
            <w:tr>
              <w:tblPrEx>
                <w:tblCellMar>
                  <w:top w:w="0" w:type="dxa"/>
                  <w:left w:w="108" w:type="dxa"/>
                  <w:bottom w:w="0" w:type="dxa"/>
                  <w:right w:w="108" w:type="dxa"/>
                </w:tblCellMar>
              </w:tblPrEx>
              <w:trPr>
                <w:trHeight w:val="49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36</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疏散指示地埋灯</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245单向 含底盒  不含变压器  220v</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盏</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115</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37</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楼层指示灯</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342*150*23.5mm</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盏</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42</w:t>
                  </w:r>
                </w:p>
              </w:tc>
            </w:tr>
            <w:tr>
              <w:tblPrEx>
                <w:tblCellMar>
                  <w:top w:w="0" w:type="dxa"/>
                  <w:left w:w="108" w:type="dxa"/>
                  <w:bottom w:w="0" w:type="dxa"/>
                  <w:right w:w="108" w:type="dxa"/>
                </w:tblCellMar>
              </w:tblPrEx>
              <w:trPr>
                <w:trHeight w:val="570"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38</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应急照明灯</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双头2*5W   应急时间≥90min</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盏</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50</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39</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石棉灭火毯</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1.2米*1.2米</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块</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50</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40</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消防铲</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把</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28</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41</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消防安全绳</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16MM*20米</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根</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86</w:t>
                  </w:r>
                </w:p>
              </w:tc>
            </w:tr>
            <w:tr>
              <w:tblPrEx>
                <w:tblCellMar>
                  <w:top w:w="0" w:type="dxa"/>
                  <w:left w:w="108" w:type="dxa"/>
                  <w:bottom w:w="0" w:type="dxa"/>
                  <w:right w:w="108" w:type="dxa"/>
                </w:tblCellMar>
              </w:tblPrEx>
              <w:trPr>
                <w:trHeight w:val="377"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42</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过滤式自救呼吸器</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50</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43</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烟雾弹</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瓶</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70</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44</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消防扳手</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把</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30</w:t>
                  </w:r>
                </w:p>
              </w:tc>
            </w:tr>
            <w:tr>
              <w:tblPrEx>
                <w:tblCellMar>
                  <w:top w:w="0" w:type="dxa"/>
                  <w:left w:w="108" w:type="dxa"/>
                  <w:bottom w:w="0" w:type="dxa"/>
                  <w:right w:w="108" w:type="dxa"/>
                </w:tblCellMar>
              </w:tblPrEx>
              <w:trPr>
                <w:trHeight w:val="33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45</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消防服</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衣服+裤子（97式战斗服）</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套</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165</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46</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消防员防护靴</w:t>
                  </w:r>
                </w:p>
              </w:tc>
              <w:tc>
                <w:tcPr>
                  <w:tcW w:w="2335"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22"/>
                    </w:rPr>
                  </w:pPr>
                  <w:r>
                    <w:rPr>
                      <w:rFonts w:hint="eastAsia" w:ascii="宋体" w:hAnsi="宋体" w:cs="宋体"/>
                      <w:color w:val="000000"/>
                      <w:kern w:val="0"/>
                      <w:sz w:val="18"/>
                      <w:szCs w:val="22"/>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双</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138</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47</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消防手套</w:t>
                  </w:r>
                </w:p>
              </w:tc>
              <w:tc>
                <w:tcPr>
                  <w:tcW w:w="2335"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22"/>
                    </w:rPr>
                  </w:pPr>
                  <w:r>
                    <w:rPr>
                      <w:rFonts w:hint="eastAsia" w:ascii="宋体" w:hAnsi="宋体" w:cs="宋体"/>
                      <w:color w:val="000000"/>
                      <w:kern w:val="0"/>
                      <w:sz w:val="18"/>
                      <w:szCs w:val="22"/>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双</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28</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48</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消防头盔</w:t>
                  </w:r>
                </w:p>
              </w:tc>
              <w:tc>
                <w:tcPr>
                  <w:tcW w:w="2335"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22"/>
                    </w:rPr>
                  </w:pPr>
                  <w:r>
                    <w:rPr>
                      <w:rFonts w:hint="eastAsia" w:ascii="宋体" w:hAnsi="宋体" w:cs="宋体"/>
                      <w:color w:val="000000"/>
                      <w:kern w:val="0"/>
                      <w:sz w:val="18"/>
                      <w:szCs w:val="22"/>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个</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75</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49</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大斧</w:t>
                  </w:r>
                </w:p>
              </w:tc>
              <w:tc>
                <w:tcPr>
                  <w:tcW w:w="2335"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18"/>
                      <w:szCs w:val="22"/>
                    </w:rPr>
                  </w:pPr>
                  <w:r>
                    <w:rPr>
                      <w:rFonts w:hint="eastAsia" w:ascii="宋体" w:hAnsi="宋体" w:cs="宋体"/>
                      <w:color w:val="000000"/>
                      <w:kern w:val="0"/>
                      <w:sz w:val="18"/>
                      <w:szCs w:val="22"/>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把</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38</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50</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消防腰斧</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　</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把</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38</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51</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警示警戒带</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一次性</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条</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16</w:t>
                  </w:r>
                </w:p>
              </w:tc>
            </w:tr>
            <w:tr>
              <w:tblPrEx>
                <w:tblCellMar>
                  <w:top w:w="0" w:type="dxa"/>
                  <w:left w:w="108" w:type="dxa"/>
                  <w:bottom w:w="0" w:type="dxa"/>
                  <w:right w:w="108" w:type="dxa"/>
                </w:tblCellMar>
              </w:tblPrEx>
              <w:trPr>
                <w:trHeight w:val="32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52</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PVC黄黑警示胶带</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10CM*45米</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卷</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27</w:t>
                  </w:r>
                </w:p>
              </w:tc>
            </w:tr>
            <w:tr>
              <w:tblPrEx>
                <w:tblCellMar>
                  <w:top w:w="0" w:type="dxa"/>
                  <w:left w:w="108" w:type="dxa"/>
                  <w:bottom w:w="0" w:type="dxa"/>
                  <w:right w:w="108" w:type="dxa"/>
                </w:tblCellMar>
              </w:tblPrEx>
              <w:trPr>
                <w:trHeight w:val="285" w:hRule="atLeast"/>
              </w:trPr>
              <w:tc>
                <w:tcPr>
                  <w:tcW w:w="288" w:type="pct"/>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53</w:t>
                  </w:r>
                </w:p>
              </w:tc>
              <w:tc>
                <w:tcPr>
                  <w:tcW w:w="1224"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路锥</w:t>
                  </w:r>
                </w:p>
              </w:tc>
              <w:tc>
                <w:tcPr>
                  <w:tcW w:w="2335"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塑料，高70CM</w:t>
                  </w:r>
                </w:p>
              </w:tc>
              <w:tc>
                <w:tcPr>
                  <w:tcW w:w="413"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1</w:t>
                  </w:r>
                </w:p>
              </w:tc>
              <w:tc>
                <w:tcPr>
                  <w:tcW w:w="286"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color w:val="000000"/>
                      <w:kern w:val="0"/>
                      <w:sz w:val="18"/>
                    </w:rPr>
                  </w:pPr>
                  <w:r>
                    <w:rPr>
                      <w:rFonts w:hint="eastAsia" w:ascii="宋体" w:hAnsi="宋体" w:cs="宋体"/>
                      <w:color w:val="000000"/>
                      <w:kern w:val="0"/>
                      <w:sz w:val="18"/>
                    </w:rPr>
                    <w:t>条</w:t>
                  </w:r>
                </w:p>
              </w:tc>
              <w:tc>
                <w:tcPr>
                  <w:tcW w:w="452" w:type="pct"/>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cs="宋体"/>
                      <w:kern w:val="0"/>
                      <w:sz w:val="18"/>
                    </w:rPr>
                  </w:pPr>
                  <w:r>
                    <w:rPr>
                      <w:rFonts w:hint="eastAsia" w:ascii="宋体" w:hAnsi="宋体" w:cs="宋体"/>
                      <w:kern w:val="0"/>
                      <w:sz w:val="18"/>
                    </w:rPr>
                    <w:t>38</w:t>
                  </w:r>
                </w:p>
              </w:tc>
            </w:tr>
          </w:tbl>
          <w:p>
            <w:pPr>
              <w:rPr>
                <w:rFonts w:ascii="宋体" w:hAnsi="宋体" w:eastAsia="宋体" w:cs="宋体"/>
                <w:bCs/>
                <w:color w:val="000000" w:themeColor="text1"/>
                <w:kern w:val="0"/>
                <w:sz w:val="24"/>
                <w:shd w:val="clear" w:color="auto" w:fill="FFFFFF"/>
                <w14:textFill>
                  <w14:solidFill>
                    <w14:schemeClr w14:val="tx1"/>
                  </w14:solidFill>
                </w14:textFill>
              </w:rPr>
            </w:pPr>
          </w:p>
          <w:bookmarkEnd w:id="1"/>
          <w:bookmarkEnd w:id="2"/>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注：</w:t>
            </w:r>
            <w:r>
              <w:rPr>
                <w:rFonts w:hint="eastAsia" w:ascii="宋体" w:hAnsi="宋体" w:eastAsia="宋体" w:cs="宋体"/>
                <w:bCs/>
                <w:color w:val="000000" w:themeColor="text1"/>
                <w:kern w:val="0"/>
                <w:sz w:val="24"/>
                <w:shd w:val="clear" w:color="auto" w:fill="FFFFFF"/>
                <w:lang w:val="en-US" w:eastAsia="zh-CN"/>
                <w14:textFill>
                  <w14:solidFill>
                    <w14:schemeClr w14:val="tx1"/>
                  </w14:solidFill>
                </w14:textFill>
              </w:rPr>
              <w:t>1、</w:t>
            </w:r>
            <w:r>
              <w:rPr>
                <w:rFonts w:hint="eastAsia" w:ascii="宋体" w:hAnsi="宋体" w:eastAsia="宋体" w:cs="宋体"/>
                <w:bCs/>
                <w:color w:val="000000" w:themeColor="text1"/>
                <w:kern w:val="0"/>
                <w:sz w:val="24"/>
                <w:shd w:val="clear" w:color="auto" w:fill="FFFFFF"/>
                <w14:textFill>
                  <w14:solidFill>
                    <w14:schemeClr w14:val="tx1"/>
                  </w14:solidFill>
                </w14:textFill>
              </w:rPr>
              <w:t>以上器材必须符合国家相关法律、法规及相关标准要求，采购人根据实际需要有权要求成交供应商提供相关产品的检测合格证明材料。</w:t>
            </w:r>
          </w:p>
          <w:p>
            <w:pPr>
              <w:rPr>
                <w:rFonts w:hint="default" w:ascii="宋体" w:hAnsi="宋体" w:eastAsia="宋体" w:cs="宋体"/>
                <w:bCs/>
                <w:color w:val="000000" w:themeColor="text1"/>
                <w:kern w:val="0"/>
                <w:sz w:val="24"/>
                <w:shd w:val="clear" w:color="auto" w:fill="FFFFFF"/>
                <w:lang w:val="en-US" w:eastAsia="zh-CN"/>
                <w14:textFill>
                  <w14:solidFill>
                    <w14:schemeClr w14:val="tx1"/>
                  </w14:solidFill>
                </w14:textFill>
              </w:rPr>
            </w:pPr>
            <w:r>
              <w:rPr>
                <w:rFonts w:hint="eastAsia" w:ascii="宋体" w:hAnsi="宋体" w:eastAsia="宋体" w:cs="宋体"/>
                <w:bCs/>
                <w:color w:val="000000" w:themeColor="text1"/>
                <w:kern w:val="0"/>
                <w:sz w:val="24"/>
                <w:shd w:val="clear" w:color="auto" w:fill="FFFFFF"/>
                <w:lang w:val="en-US" w:eastAsia="zh-CN"/>
                <w14:textFill>
                  <w14:solidFill>
                    <w14:schemeClr w14:val="tx1"/>
                  </w14:solidFill>
                </w14:textFill>
              </w:rPr>
              <w:t xml:space="preserve">    2、上述产品涉及体积、尺寸、重量要求的，允许正负偏离3%。</w:t>
            </w:r>
          </w:p>
          <w:p>
            <w:pPr>
              <w:rPr>
                <w:rFonts w:ascii="宋体" w:hAnsi="宋体" w:eastAsia="宋体" w:cs="宋体"/>
                <w:b/>
                <w:bCs w:val="0"/>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三、其他要求</w:t>
            </w:r>
          </w:p>
          <w:p>
            <w:pPr>
              <w:ind w:firstLine="0" w:firstLineChars="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1、交货方式及服务要求：</w:t>
            </w:r>
            <w:r>
              <w:rPr>
                <w:rFonts w:hint="eastAsia" w:ascii="宋体" w:hAnsi="宋体" w:eastAsia="宋体" w:cs="宋体"/>
                <w:bCs/>
                <w:color w:val="000000" w:themeColor="text1"/>
                <w:kern w:val="0"/>
                <w:sz w:val="24"/>
                <w:shd w:val="clear" w:color="auto" w:fill="FFFFFF"/>
                <w14:textFill>
                  <w14:solidFill>
                    <w14:schemeClr w14:val="tx1"/>
                  </w14:solidFill>
                </w14:textFill>
              </w:rPr>
              <w:t>消防器材采购按采购人提出需求后3个工作日内交付，消防器材的维修按采购人提出需求后12个小时内维修人员到现场维修；采购人根据工作需要有其他时限要求的，成交供应商应在收到供货或维修通知后1个小时内供货到指定地点或指派维修人员到达现场。灭火器的维修换药按采购人提出后12小时内派员到采购人指定地点取运，并在2个工作日内完成维修换药并运送到采购人指定地点、并安装到位，采购人有其他时限要求的从其要求。</w:t>
            </w:r>
          </w:p>
          <w:p>
            <w:pPr>
              <w:ind w:firstLine="0" w:firstLineChars="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2、包装运输：</w:t>
            </w:r>
            <w:r>
              <w:rPr>
                <w:rFonts w:hint="eastAsia" w:ascii="宋体" w:hAnsi="宋体" w:eastAsia="宋体" w:cs="宋体"/>
                <w:bCs/>
                <w:color w:val="000000" w:themeColor="text1"/>
                <w:kern w:val="0"/>
                <w:sz w:val="24"/>
                <w:shd w:val="clear" w:color="auto" w:fill="FFFFFF"/>
                <w14:textFill>
                  <w14:solidFill>
                    <w14:schemeClr w14:val="tx1"/>
                  </w14:solidFill>
                </w14:textFill>
              </w:rPr>
              <w:t>投报人提供的全部器材应按标准保护措施进行包装，以防止器材在转运中损坏，确保器材运输与安装的安全无损。</w:t>
            </w:r>
          </w:p>
          <w:p>
            <w:pPr>
              <w:ind w:firstLine="0" w:firstLineChars="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3、结算方式：</w:t>
            </w:r>
            <w:r>
              <w:rPr>
                <w:rFonts w:hint="eastAsia" w:ascii="宋体" w:hAnsi="宋体" w:eastAsia="宋体" w:cs="宋体"/>
                <w:bCs/>
                <w:color w:val="000000" w:themeColor="text1"/>
                <w:kern w:val="0"/>
                <w:sz w:val="24"/>
                <w:shd w:val="clear" w:color="auto" w:fill="FFFFFF"/>
                <w14:textFill>
                  <w14:solidFill>
                    <w14:schemeClr w14:val="tx1"/>
                  </w14:solidFill>
                </w14:textFill>
              </w:rPr>
              <w:t>成交供应商根据采购人提出的采购品名及数量，将新购消防器材送到采购人指定地点，或将维修换药的灭火器送到采购人指定地点、并安装到位，以及消防器材维修完成后，经采购人检查验收并认定符合质量要求后，由投报人开具税务发票，采购人收到发票后一个月内以转账方式付款。</w:t>
            </w:r>
          </w:p>
          <w:p>
            <w:pPr>
              <w:ind w:firstLine="0" w:firstLineChars="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4、验收：</w:t>
            </w:r>
            <w:r>
              <w:rPr>
                <w:rFonts w:hint="eastAsia" w:ascii="宋体" w:hAnsi="宋体" w:eastAsia="宋体" w:cs="宋体"/>
                <w:bCs/>
                <w:color w:val="000000" w:themeColor="text1"/>
                <w:kern w:val="0"/>
                <w:sz w:val="24"/>
                <w:shd w:val="clear" w:color="auto" w:fill="FFFFFF"/>
                <w14:textFill>
                  <w14:solidFill>
                    <w14:schemeClr w14:val="tx1"/>
                  </w14:solidFill>
                </w14:textFill>
              </w:rPr>
              <w:t>以现场验收为主，验收结果经双方确认后，双方代表在验收单上签字。对不符合要求的，采购人有权拒绝接受，投报人应及时更换或重新维修。</w:t>
            </w:r>
          </w:p>
          <w:p>
            <w:pPr>
              <w:ind w:firstLine="0" w:firstLineChars="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5、售后服务保障：</w:t>
            </w:r>
            <w:r>
              <w:rPr>
                <w:rFonts w:hint="eastAsia" w:ascii="宋体" w:hAnsi="宋体" w:eastAsia="宋体" w:cs="宋体"/>
                <w:bCs/>
                <w:color w:val="000000" w:themeColor="text1"/>
                <w:kern w:val="0"/>
                <w:sz w:val="24"/>
                <w:shd w:val="clear" w:color="auto" w:fill="FFFFFF"/>
                <w14:textFill>
                  <w14:solidFill>
                    <w14:schemeClr w14:val="tx1"/>
                  </w14:solidFill>
                </w14:textFill>
              </w:rPr>
              <w:t>新购消防器材保修一年，一个月内如发现有非人为损坏的，投报人应无条件给予更换；灭火器的维修换药保修一年；消防器材维修保用一个月。</w:t>
            </w:r>
          </w:p>
          <w:p>
            <w:pPr>
              <w:ind w:firstLine="0" w:firstLineChars="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6、履约保证金：</w:t>
            </w:r>
            <w:r>
              <w:rPr>
                <w:rFonts w:hint="eastAsia" w:ascii="宋体" w:hAnsi="宋体" w:eastAsia="宋体" w:cs="宋体"/>
                <w:bCs/>
                <w:color w:val="000000" w:themeColor="text1"/>
                <w:kern w:val="0"/>
                <w:sz w:val="24"/>
                <w:shd w:val="clear" w:color="auto" w:fill="FFFFFF"/>
                <w14:textFill>
                  <w14:solidFill>
                    <w14:schemeClr w14:val="tx1"/>
                  </w14:solidFill>
                </w14:textFill>
              </w:rPr>
              <w:t>合同签订前成交供应商应按成交金额的5%向采购人缴纳履约保证金，合同履行完毕后供应商如无违约事宜则无息退还。</w:t>
            </w:r>
          </w:p>
          <w:p>
            <w:pPr>
              <w:ind w:firstLine="0" w:firstLineChars="0"/>
              <w:rPr>
                <w:rFonts w:ascii="宋体" w:hAnsi="宋体" w:eastAsia="宋体" w:cs="宋体"/>
                <w:b/>
                <w:bCs w:val="0"/>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7、违约责任：</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（1）未经采购人同意成交供应商单方解除合同，或拒绝供货的，采购人有权没收全额履约保证金，要求成交供应商支付因成交供应商单方解除合同或拒绝供货所对应货物金额2</w:t>
            </w:r>
            <w:r>
              <w:rPr>
                <w:rFonts w:ascii="宋体" w:hAnsi="宋体" w:eastAsia="宋体" w:cs="宋体"/>
                <w:bCs/>
                <w:color w:val="000000" w:themeColor="text1"/>
                <w:kern w:val="0"/>
                <w:sz w:val="24"/>
                <w:shd w:val="clear" w:color="auto" w:fill="FFFFFF"/>
                <w14:textFill>
                  <w14:solidFill>
                    <w14:schemeClr w14:val="tx1"/>
                  </w14:solidFill>
                </w14:textFill>
              </w:rPr>
              <w:t>0%</w:t>
            </w:r>
            <w:r>
              <w:rPr>
                <w:rFonts w:hint="eastAsia" w:ascii="宋体" w:hAnsi="宋体" w:eastAsia="宋体" w:cs="宋体"/>
                <w:bCs/>
                <w:color w:val="000000" w:themeColor="text1"/>
                <w:kern w:val="0"/>
                <w:sz w:val="24"/>
                <w:shd w:val="clear" w:color="auto" w:fill="FFFFFF"/>
                <w14:textFill>
                  <w14:solidFill>
                    <w14:schemeClr w14:val="tx1"/>
                  </w14:solidFill>
                </w14:textFill>
              </w:rPr>
              <w:t>的违约金；对采购人造成损失的，成交供应商还应给予相应赔偿。</w:t>
            </w:r>
          </w:p>
          <w:p>
            <w:pPr>
              <w:rPr>
                <w:rFonts w:hint="eastAsia"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（2）成交供应商不得转包他人，若发现转包，采购人有权终止合同，没收履约保证金并追究相应法律责任。</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(3)对新购消防器材，成交供应商必须按采购人要求的规格，保质保量按期交货，如发现规格、质量、材质等与中标不一致（必要时送质检部门检验），采购人有权退货并没收全部履约保证金，所产生的一切后果由成交供应商负责；灭火器经维修换药后质保期内出现质量问题所产生的一切后果由成交供应商负责。</w:t>
            </w:r>
          </w:p>
          <w:p>
            <w:pPr>
              <w:rPr>
                <w:rFonts w:hint="eastAsia"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（4）成交供应商存在违反本招标内容及要求中任一义务行为的（含作为及不作为），采购人有权每次要求成交供应商支付违约金</w:t>
            </w:r>
            <w:r>
              <w:rPr>
                <w:rFonts w:ascii="宋体" w:hAnsi="宋体" w:eastAsia="宋体" w:cs="宋体"/>
                <w:bCs/>
                <w:color w:val="000000" w:themeColor="text1"/>
                <w:kern w:val="0"/>
                <w:sz w:val="24"/>
                <w:shd w:val="clear" w:color="auto" w:fill="FFFFFF"/>
                <w14:textFill>
                  <w14:solidFill>
                    <w14:schemeClr w14:val="tx1"/>
                  </w14:solidFill>
                </w14:textFill>
              </w:rPr>
              <w:t>500</w:t>
            </w:r>
            <w:r>
              <w:rPr>
                <w:rFonts w:hint="eastAsia" w:ascii="宋体" w:hAnsi="宋体" w:eastAsia="宋体" w:cs="宋体"/>
                <w:bCs/>
                <w:color w:val="000000" w:themeColor="text1"/>
                <w:kern w:val="0"/>
                <w:sz w:val="24"/>
                <w:shd w:val="clear" w:color="auto" w:fill="FFFFFF"/>
                <w14:textFill>
                  <w14:solidFill>
                    <w14:schemeClr w14:val="tx1"/>
                  </w14:solidFill>
                </w14:textFill>
              </w:rPr>
              <w:t>元，违约金直接从履约保证金中扣除;连续3次以上(含3次)或累计达5次以上(含5次)的采购人有权终止合同,没收全部履约保证金,并有权要求成交供应商按剩余交货款项(剩余交货款项按预算金额减去已交货部分款项)的20%赔偿经济损失。</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5）在合同履行期间，成交供应商必须遵守采购人的各项规章制度，如有进出采购人及其上级闽西监狱监区的必须提供合法证件，成交供应商运送物资进入采购人所在监区的车辆、人员不得私自离开指定的区域，不得与犯人及犯人家属有违反监狱规定的接触，不传递物品及信息如：手机、毒品、酒类、黄色书刊及图片、刀具、绳索、打火机、有价证券、信用卡、数码产品等一切物品，一旦发现有上述违规行为，采购人有权终止合同并没收保证金；若触犯法律移送司法机关处理。</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（6）成交供应商不得给予采购人工作人员或其他相关人员任何形式不正当利益，在招投标、合同履行过程中，发现成交供应商以违规方式中标的，或成交供应商有行贿等违法行为，一经发现</w:t>
            </w:r>
            <w:r>
              <w:rPr>
                <w:rFonts w:ascii="宋体" w:hAnsi="宋体" w:eastAsia="宋体" w:cs="宋体"/>
                <w:bCs/>
                <w:color w:val="000000" w:themeColor="text1"/>
                <w:kern w:val="0"/>
                <w:sz w:val="24"/>
                <w:shd w:val="clear" w:color="auto" w:fill="FFFFFF"/>
                <w14:textFill>
                  <w14:solidFill>
                    <w14:schemeClr w14:val="tx1"/>
                  </w14:solidFill>
                </w14:textFill>
              </w:rPr>
              <w:t>,</w:t>
            </w:r>
            <w:r>
              <w:rPr>
                <w:rFonts w:hint="eastAsia" w:ascii="宋体" w:hAnsi="宋体" w:eastAsia="宋体" w:cs="宋体"/>
                <w:bCs/>
                <w:color w:val="000000" w:themeColor="text1"/>
                <w:kern w:val="0"/>
                <w:sz w:val="24"/>
                <w:shd w:val="clear" w:color="auto" w:fill="FFFFFF"/>
                <w14:textFill>
                  <w14:solidFill>
                    <w14:schemeClr w14:val="tx1"/>
                  </w14:solidFill>
                </w14:textFill>
              </w:rPr>
              <w:t>采购人将视情予以取消中标资格</w:t>
            </w:r>
            <w:r>
              <w:rPr>
                <w:rFonts w:ascii="宋体" w:hAnsi="宋体" w:eastAsia="宋体" w:cs="宋体"/>
                <w:bCs/>
                <w:color w:val="000000" w:themeColor="text1"/>
                <w:kern w:val="0"/>
                <w:sz w:val="24"/>
                <w:shd w:val="clear" w:color="auto" w:fill="FFFFFF"/>
                <w14:textFill>
                  <w14:solidFill>
                    <w14:schemeClr w14:val="tx1"/>
                  </w14:solidFill>
                </w14:textFill>
              </w:rPr>
              <w:t>,</w:t>
            </w:r>
            <w:r>
              <w:rPr>
                <w:rFonts w:hint="eastAsia" w:ascii="宋体" w:hAnsi="宋体" w:eastAsia="宋体" w:cs="宋体"/>
                <w:bCs/>
                <w:color w:val="000000" w:themeColor="text1"/>
                <w:kern w:val="0"/>
                <w:sz w:val="24"/>
                <w:shd w:val="clear" w:color="auto" w:fill="FFFFFF"/>
                <w14:textFill>
                  <w14:solidFill>
                    <w14:schemeClr w14:val="tx1"/>
                  </w14:solidFill>
                </w14:textFill>
              </w:rPr>
              <w:t>没收投标保证金，或终止合同并没收保证金</w:t>
            </w:r>
            <w:r>
              <w:rPr>
                <w:rFonts w:ascii="宋体" w:hAnsi="宋体" w:eastAsia="宋体" w:cs="宋体"/>
                <w:bCs/>
                <w:color w:val="000000" w:themeColor="text1"/>
                <w:kern w:val="0"/>
                <w:sz w:val="24"/>
                <w:shd w:val="clear" w:color="auto" w:fill="FFFFFF"/>
                <w14:textFill>
                  <w14:solidFill>
                    <w14:schemeClr w14:val="tx1"/>
                  </w14:solidFill>
                </w14:textFill>
              </w:rPr>
              <w:t>,</w:t>
            </w:r>
            <w:r>
              <w:rPr>
                <w:rFonts w:hint="eastAsia" w:ascii="宋体" w:hAnsi="宋体" w:eastAsia="宋体" w:cs="宋体"/>
                <w:bCs/>
                <w:color w:val="000000" w:themeColor="text1"/>
                <w:kern w:val="0"/>
                <w:sz w:val="24"/>
                <w:shd w:val="clear" w:color="auto" w:fill="FFFFFF"/>
                <w14:textFill>
                  <w14:solidFill>
                    <w14:schemeClr w14:val="tx1"/>
                  </w14:solidFill>
                </w14:textFill>
              </w:rPr>
              <w:t>并列入不诚信黑名单，今后不得参与采购人及其上级闽西监狱所有项目的投标。</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7）成交供应商应认真遵守国家保密法律、法规和采购人及其上级闽西监狱相关规章制度，履行保密、保守义务；其进入采购人工作区域的工作人员需签订《保密承诺书》，严格履行保密义务，所获得的采购人所有信息（包括并不限于工作信息）应严格保守，未经甲方允许不得违规记录、存储、复制国家秘密信息，不以任何方式泄露所接触和知悉的国家秘密和采购人相关信息，严禁将采购人工作文件等内部资料泄露出去，采购人根据成交供应商存在的前述违约行为（包括故意或过失）或因前述违约行为（包括故意或过失）造成采购人相关后果等实际情况，除了有权要求成交供应商承担相应法律责任外，还有权要求成交供应商偿付合同货款</w:t>
            </w:r>
            <w:r>
              <w:rPr>
                <w:rFonts w:ascii="宋体" w:hAnsi="宋体" w:eastAsia="宋体" w:cs="宋体"/>
                <w:bCs/>
                <w:color w:val="000000" w:themeColor="text1"/>
                <w:kern w:val="0"/>
                <w:sz w:val="24"/>
                <w:shd w:val="clear" w:color="auto" w:fill="FFFFFF"/>
                <w14:textFill>
                  <w14:solidFill>
                    <w14:schemeClr w14:val="tx1"/>
                  </w14:solidFill>
                </w14:textFill>
              </w:rPr>
              <w:t>20%</w:t>
            </w:r>
            <w:r>
              <w:rPr>
                <w:rFonts w:hint="eastAsia" w:ascii="宋体" w:hAnsi="宋体" w:eastAsia="宋体" w:cs="宋体"/>
                <w:bCs/>
                <w:color w:val="000000" w:themeColor="text1"/>
                <w:kern w:val="0"/>
                <w:sz w:val="24"/>
                <w:shd w:val="clear" w:color="auto" w:fill="FFFFFF"/>
                <w14:textFill>
                  <w14:solidFill>
                    <w14:schemeClr w14:val="tx1"/>
                  </w14:solidFill>
                </w14:textFill>
              </w:rPr>
              <w:t>的违约金；造成采购人损失的，成交供应商还应予以赔偿。</w:t>
            </w:r>
          </w:p>
          <w:p>
            <w:pPr>
              <w:rPr>
                <w:rFonts w:hint="eastAsia"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（8）上述违约责任内容与本竞价文件内容及要求中的其他要求有冲突的，违约责任按就高不就低原则处理。</w:t>
            </w:r>
          </w:p>
          <w:p>
            <w:pPr>
              <w:ind w:firstLine="0" w:firstLineChars="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8、合同争议处理方式</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若发生争议，由双方友好协商解决，或根据《中华人民共和国政府采购法》、《中华人民共和国合同法》及政府采购有关规定进行解决；通过前述途径仍无法解决的，可向采购人所在地人民法院提请诉讼。</w:t>
            </w:r>
          </w:p>
          <w:p>
            <w:pPr>
              <w:ind w:firstLine="0" w:firstLineChars="0"/>
              <w:rPr>
                <w:rFonts w:ascii="宋体" w:hAnsi="宋体" w:eastAsia="宋体" w:cs="宋体"/>
                <w:b/>
                <w:bCs w:val="0"/>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9、不可抗力</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ascii="宋体" w:hAnsi="宋体" w:eastAsia="宋体" w:cs="宋体"/>
                <w:bCs/>
                <w:color w:val="000000" w:themeColor="text1"/>
                <w:kern w:val="0"/>
                <w:sz w:val="24"/>
                <w:shd w:val="clear" w:color="auto" w:fill="FFFFFF"/>
                <w14:textFill>
                  <w14:solidFill>
                    <w14:schemeClr w14:val="tx1"/>
                  </w14:solidFill>
                </w14:textFill>
              </w:rPr>
              <w:t>1</w:t>
            </w:r>
            <w:r>
              <w:rPr>
                <w:rFonts w:hint="eastAsia" w:ascii="宋体" w:hAnsi="宋体" w:eastAsia="宋体" w:cs="宋体"/>
                <w:bCs/>
                <w:color w:val="000000" w:themeColor="text1"/>
                <w:kern w:val="0"/>
                <w:sz w:val="24"/>
                <w:shd w:val="clear" w:color="auto" w:fill="FFFFFF"/>
                <w14:textFill>
                  <w14:solidFill>
                    <w14:schemeClr w14:val="tx1"/>
                  </w14:solidFill>
                </w14:textFill>
              </w:rPr>
              <w:t>、因不可抗力造成违约的，遭受不可抗力一方应及时向对方通报不能履行或不能完全履行的理由，并在随后取得有关主管机关证明后的</w:t>
            </w:r>
            <w:r>
              <w:rPr>
                <w:rFonts w:ascii="宋体" w:hAnsi="宋体" w:eastAsia="宋体" w:cs="宋体"/>
                <w:bCs/>
                <w:color w:val="000000" w:themeColor="text1"/>
                <w:kern w:val="0"/>
                <w:sz w:val="24"/>
                <w:shd w:val="clear" w:color="auto" w:fill="FFFFFF"/>
                <w14:textFill>
                  <w14:solidFill>
                    <w14:schemeClr w14:val="tx1"/>
                  </w14:solidFill>
                </w14:textFill>
              </w:rPr>
              <w:t>15</w:t>
            </w:r>
            <w:r>
              <w:rPr>
                <w:rFonts w:hint="eastAsia" w:ascii="宋体" w:hAnsi="宋体" w:eastAsia="宋体" w:cs="宋体"/>
                <w:bCs/>
                <w:color w:val="000000" w:themeColor="text1"/>
                <w:kern w:val="0"/>
                <w:sz w:val="24"/>
                <w:shd w:val="clear" w:color="auto" w:fill="FFFFFF"/>
                <w14:textFill>
                  <w14:solidFill>
                    <w14:schemeClr w14:val="tx1"/>
                  </w14:solidFill>
                </w14:textFill>
              </w:rPr>
              <w:t>日内向另一方提供不可抗力发生及持续期间的充分证据。基于以上行为，允许遭受不可抗力一方延期履行、部分履行或不履行合同，并根据情况可部分或全部免于承担违约责任。</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ascii="宋体" w:hAnsi="宋体" w:eastAsia="宋体" w:cs="宋体"/>
                <w:bCs/>
                <w:color w:val="000000" w:themeColor="text1"/>
                <w:kern w:val="0"/>
                <w:sz w:val="24"/>
                <w:shd w:val="clear" w:color="auto" w:fill="FFFFFF"/>
                <w14:textFill>
                  <w14:solidFill>
                    <w14:schemeClr w14:val="tx1"/>
                  </w14:solidFill>
                </w14:textFill>
              </w:rPr>
              <w:t>2</w:t>
            </w:r>
            <w:r>
              <w:rPr>
                <w:rFonts w:hint="eastAsia" w:ascii="宋体" w:hAnsi="宋体" w:eastAsia="宋体" w:cs="宋体"/>
                <w:bCs/>
                <w:color w:val="000000" w:themeColor="text1"/>
                <w:kern w:val="0"/>
                <w:sz w:val="24"/>
                <w:shd w:val="clear" w:color="auto" w:fill="FFFFFF"/>
                <w14:textFill>
                  <w14:solidFill>
                    <w14:schemeClr w14:val="tx1"/>
                  </w14:solidFill>
                </w14:textFill>
              </w:rPr>
              <w:t>、本合同中的不可抗力指不能预见、不能避免、不能克服的客观情况，包括但不限于：自然灾害如地震、台风、洪水、火灾及政府行为、法律规定或其适用的变化或其他任何无法预见、避免或控制的事件。</w:t>
            </w:r>
          </w:p>
          <w:p>
            <w:pPr>
              <w:ind w:firstLine="0" w:firstLineChars="0"/>
              <w:rPr>
                <w:rFonts w:ascii="宋体" w:hAnsi="宋体" w:eastAsia="宋体" w:cs="宋体"/>
                <w:b/>
                <w:bCs w:val="0"/>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10、其他约定</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ascii="宋体" w:hAnsi="宋体" w:eastAsia="宋体" w:cs="宋体"/>
                <w:bCs/>
                <w:color w:val="000000" w:themeColor="text1"/>
                <w:kern w:val="0"/>
                <w:sz w:val="24"/>
                <w:shd w:val="clear" w:color="auto" w:fill="FFFFFF"/>
                <w14:textFill>
                  <w14:solidFill>
                    <w14:schemeClr w14:val="tx1"/>
                  </w14:solidFill>
                </w14:textFill>
              </w:rPr>
              <w:t>1</w:t>
            </w:r>
            <w:r>
              <w:rPr>
                <w:rFonts w:hint="eastAsia" w:ascii="宋体" w:hAnsi="宋体" w:eastAsia="宋体" w:cs="宋体"/>
                <w:bCs/>
                <w:color w:val="000000" w:themeColor="text1"/>
                <w:kern w:val="0"/>
                <w:sz w:val="24"/>
                <w:shd w:val="clear" w:color="auto" w:fill="FFFFFF"/>
                <w14:textFill>
                  <w14:solidFill>
                    <w14:schemeClr w14:val="tx1"/>
                  </w14:solidFill>
                </w14:textFill>
              </w:rPr>
              <w:t>、除采购文件另有规定外，若出现有关法律、法规和规章有强制性规定但采购文件未列明的情形，则成交供应商应按照有关法律、法规和规章强制性规定执行。</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ascii="宋体" w:hAnsi="宋体" w:eastAsia="宋体" w:cs="宋体"/>
                <w:bCs/>
                <w:color w:val="000000" w:themeColor="text1"/>
                <w:kern w:val="0"/>
                <w:sz w:val="24"/>
                <w:shd w:val="clear" w:color="auto" w:fill="FFFFFF"/>
                <w14:textFill>
                  <w14:solidFill>
                    <w14:schemeClr w14:val="tx1"/>
                  </w14:solidFill>
                </w14:textFill>
              </w:rPr>
              <w:t>2</w:t>
            </w:r>
            <w:r>
              <w:rPr>
                <w:rFonts w:hint="eastAsia" w:ascii="宋体" w:hAnsi="宋体" w:eastAsia="宋体" w:cs="宋体"/>
                <w:bCs/>
                <w:color w:val="000000" w:themeColor="text1"/>
                <w:kern w:val="0"/>
                <w:sz w:val="24"/>
                <w:shd w:val="clear" w:color="auto" w:fill="FFFFFF"/>
                <w14:textFill>
                  <w14:solidFill>
                    <w14:schemeClr w14:val="tx1"/>
                  </w14:solidFill>
                </w14:textFill>
              </w:rPr>
              <w:t>、若合同期满，采购人未与第三方订立新的合同，如采购人通知成交供应商继续供货或提供服务的，成交供应商应在不改变任何条款的前提下继续供货或提供服务，直到新的合同签订为止。</w:t>
            </w:r>
          </w:p>
          <w:p>
            <w:pPr>
              <w:rPr>
                <w:rFonts w:ascii="宋体" w:hAnsi="宋体" w:eastAsia="宋体" w:cs="宋体"/>
                <w:bCs/>
                <w:color w:val="000000" w:themeColor="text1"/>
                <w:kern w:val="0"/>
                <w:sz w:val="24"/>
                <w:shd w:val="clear" w:color="auto" w:fill="FFFFFF"/>
                <w14:textFill>
                  <w14:solidFill>
                    <w14:schemeClr w14:val="tx1"/>
                  </w14:solidFill>
                </w14:textFill>
              </w:rPr>
            </w:pPr>
            <w:r>
              <w:rPr>
                <w:rFonts w:ascii="宋体" w:hAnsi="宋体" w:eastAsia="宋体" w:cs="宋体"/>
                <w:bCs/>
                <w:color w:val="000000" w:themeColor="text1"/>
                <w:kern w:val="0"/>
                <w:sz w:val="24"/>
                <w:shd w:val="clear" w:color="auto" w:fill="FFFFFF"/>
                <w14:textFill>
                  <w14:solidFill>
                    <w14:schemeClr w14:val="tx1"/>
                  </w14:solidFill>
                </w14:textFill>
              </w:rPr>
              <w:t>3</w:t>
            </w:r>
            <w:r>
              <w:rPr>
                <w:rFonts w:hint="eastAsia" w:ascii="宋体" w:hAnsi="宋体" w:eastAsia="宋体" w:cs="宋体"/>
                <w:bCs/>
                <w:color w:val="000000" w:themeColor="text1"/>
                <w:kern w:val="0"/>
                <w:sz w:val="24"/>
                <w:shd w:val="clear" w:color="auto" w:fill="FFFFFF"/>
                <w14:textFill>
                  <w14:solidFill>
                    <w14:schemeClr w14:val="tx1"/>
                  </w14:solidFill>
                </w14:textFill>
              </w:rPr>
              <w:t>、本项目不允许成交供应商以任何名义和理由进行转包、分包，如有发现，采购人有权终止合同</w:t>
            </w:r>
            <w:r>
              <w:rPr>
                <w:rFonts w:ascii="宋体" w:hAnsi="宋体" w:eastAsia="宋体" w:cs="宋体"/>
                <w:bCs/>
                <w:color w:val="000000" w:themeColor="text1"/>
                <w:kern w:val="0"/>
                <w:sz w:val="24"/>
                <w:shd w:val="clear" w:color="auto" w:fill="FFFFFF"/>
                <w14:textFill>
                  <w14:solidFill>
                    <w14:schemeClr w14:val="tx1"/>
                  </w14:solidFill>
                </w14:textFill>
              </w:rPr>
              <w:t>,</w:t>
            </w:r>
            <w:r>
              <w:rPr>
                <w:rFonts w:hint="eastAsia" w:ascii="宋体" w:hAnsi="宋体" w:eastAsia="宋体" w:cs="宋体"/>
                <w:bCs/>
                <w:color w:val="000000" w:themeColor="text1"/>
                <w:kern w:val="0"/>
                <w:sz w:val="24"/>
                <w:shd w:val="clear" w:color="auto" w:fill="FFFFFF"/>
                <w14:textFill>
                  <w14:solidFill>
                    <w14:schemeClr w14:val="tx1"/>
                  </w14:solidFill>
                </w14:textFill>
              </w:rPr>
              <w:t>没收履约保证金</w:t>
            </w:r>
            <w:r>
              <w:rPr>
                <w:rFonts w:ascii="宋体" w:hAnsi="宋体" w:eastAsia="宋体" w:cs="宋体"/>
                <w:bCs/>
                <w:color w:val="000000" w:themeColor="text1"/>
                <w:kern w:val="0"/>
                <w:sz w:val="24"/>
                <w:shd w:val="clear" w:color="auto" w:fill="FFFFFF"/>
                <w14:textFill>
                  <w14:solidFill>
                    <w14:schemeClr w14:val="tx1"/>
                  </w14:solidFill>
                </w14:textFill>
              </w:rPr>
              <w:t xml:space="preserve">, </w:t>
            </w:r>
            <w:r>
              <w:rPr>
                <w:rFonts w:hint="eastAsia" w:ascii="宋体" w:hAnsi="宋体" w:eastAsia="宋体" w:cs="宋体"/>
                <w:bCs/>
                <w:color w:val="000000" w:themeColor="text1"/>
                <w:kern w:val="0"/>
                <w:sz w:val="24"/>
                <w:shd w:val="clear" w:color="auto" w:fill="FFFFFF"/>
                <w14:textFill>
                  <w14:solidFill>
                    <w14:schemeClr w14:val="tx1"/>
                  </w14:solidFill>
                </w14:textFill>
              </w:rPr>
              <w:t>造成采购人经济损失的，成交供应商应予赔偿。</w:t>
            </w:r>
          </w:p>
        </w:tc>
      </w:tr>
    </w:tbl>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根据《福建省财政厅关于进一步做好省级网上竞价采购工作的通知》（闽财购[2010]18号）的规定，福建优胜招标项目管理集团有限公司采用网上竞价（以下简称“竞价”）方式组织实施本次货物及服务的网上竞价，现邀请合格的供应商前来报价。</w:t>
      </w:r>
    </w:p>
    <w:p>
      <w:pPr>
        <w:rPr>
          <w:rFonts w:ascii="宋体" w:hAnsi="宋体" w:eastAsia="宋体" w:cs="宋体"/>
          <w:b/>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二、合格的竞价供应商</w:t>
      </w:r>
    </w:p>
    <w:p>
      <w:pPr>
        <w:rPr>
          <w:rFonts w:ascii="宋体" w:hAnsi="宋体" w:eastAsia="宋体" w:cs="宋体"/>
          <w:bCs/>
          <w:color w:val="000000" w:themeColor="text1"/>
          <w:kern w:val="0"/>
          <w:sz w:val="24"/>
          <w:shd w:val="clear" w:color="auto" w:fill="FFFFFF"/>
          <w14:textFill>
            <w14:solidFill>
              <w14:schemeClr w14:val="tx1"/>
            </w14:solidFill>
          </w14:textFill>
        </w:rPr>
      </w:pPr>
    </w:p>
    <w:p>
      <w:pPr>
        <w:spacing w:line="280" w:lineRule="exact"/>
        <w:ind w:firstLine="480" w:firstLineChars="200"/>
        <w:rPr>
          <w:rFonts w:ascii="宋体" w:hAnsi="宋体" w:cs="宋体"/>
          <w:bCs/>
          <w:color w:val="000000"/>
          <w:kern w:val="0"/>
          <w:sz w:val="24"/>
          <w:shd w:val="clear" w:color="auto" w:fill="FFFFFF"/>
        </w:rPr>
      </w:pPr>
      <w:r>
        <w:rPr>
          <w:rFonts w:hint="eastAsia" w:ascii="宋体" w:hAnsi="宋体" w:cs="宋体"/>
          <w:bCs/>
          <w:color w:val="000000"/>
          <w:kern w:val="0"/>
          <w:sz w:val="24"/>
          <w:shd w:val="clear" w:color="auto" w:fill="FFFFFF"/>
        </w:rPr>
        <w:t>1、凡有能力提供本竞价公告所述货物及服务的，具有法人资格的境内供货商或制造商均可能成为合格的供应商；</w:t>
      </w:r>
    </w:p>
    <w:p>
      <w:pPr>
        <w:spacing w:line="280" w:lineRule="exact"/>
        <w:ind w:firstLine="480" w:firstLineChars="200"/>
        <w:rPr>
          <w:rFonts w:ascii="宋体" w:hAnsi="宋体" w:cs="宋体"/>
          <w:bCs/>
          <w:color w:val="000000"/>
          <w:kern w:val="0"/>
          <w:sz w:val="24"/>
          <w:shd w:val="clear" w:color="auto" w:fill="FFFFFF"/>
        </w:rPr>
      </w:pPr>
      <w:r>
        <w:rPr>
          <w:rFonts w:hint="eastAsia" w:ascii="宋体" w:hAnsi="宋体" w:cs="宋体"/>
          <w:bCs/>
          <w:color w:val="000000"/>
          <w:kern w:val="0"/>
          <w:sz w:val="24"/>
          <w:shd w:val="clear" w:color="auto" w:fill="FFFFFF"/>
        </w:rPr>
        <w:t>2、供应商须提供社会保障资金的相关材料；</w:t>
      </w:r>
    </w:p>
    <w:p>
      <w:pPr>
        <w:spacing w:line="280" w:lineRule="exact"/>
        <w:ind w:firstLine="480" w:firstLineChars="200"/>
        <w:rPr>
          <w:rFonts w:ascii="宋体" w:hAnsi="宋体" w:cs="宋体"/>
          <w:bCs/>
          <w:color w:val="000000"/>
          <w:kern w:val="0"/>
          <w:sz w:val="24"/>
          <w:shd w:val="clear" w:color="auto" w:fill="FFFFFF"/>
        </w:rPr>
      </w:pPr>
      <w:r>
        <w:rPr>
          <w:rFonts w:hint="eastAsia" w:ascii="宋体" w:hAnsi="宋体" w:cs="宋体"/>
          <w:bCs/>
          <w:color w:val="000000"/>
          <w:kern w:val="0"/>
          <w:sz w:val="24"/>
          <w:shd w:val="clear" w:color="auto" w:fill="FFFFFF"/>
        </w:rPr>
        <w:t>3、供应商须提供无行贿犯罪承诺函；</w:t>
      </w:r>
    </w:p>
    <w:p>
      <w:pPr>
        <w:numPr>
          <w:ilvl w:val="-1"/>
          <w:numId w:val="0"/>
        </w:numPr>
        <w:spacing w:line="280" w:lineRule="exact"/>
        <w:ind w:firstLine="480" w:firstLineChars="200"/>
        <w:rPr>
          <w:rFonts w:ascii="宋体" w:hAnsi="宋体" w:cs="宋体"/>
          <w:bCs/>
          <w:color w:val="000000"/>
          <w:kern w:val="0"/>
          <w:sz w:val="24"/>
          <w:shd w:val="clear" w:color="auto" w:fill="FFFFFF"/>
        </w:rPr>
      </w:pPr>
      <w:r>
        <w:rPr>
          <w:rFonts w:hint="eastAsia" w:ascii="宋体" w:hAnsi="宋体" w:cs="宋体"/>
          <w:bCs/>
          <w:color w:val="000000"/>
          <w:kern w:val="0"/>
          <w:sz w:val="24"/>
          <w:shd w:val="clear" w:color="auto" w:fill="FFFFFF"/>
          <w:lang w:val="en-US" w:eastAsia="zh-CN"/>
        </w:rPr>
        <w:t>4、</w:t>
      </w:r>
      <w:r>
        <w:rPr>
          <w:rFonts w:hint="eastAsia" w:ascii="宋体" w:hAnsi="宋体" w:cs="宋体"/>
          <w:bCs/>
          <w:color w:val="000000"/>
          <w:kern w:val="0"/>
          <w:sz w:val="24"/>
          <w:shd w:val="clear" w:color="auto" w:fill="FFFFFF"/>
        </w:rPr>
        <w:t>供应商须提供网上竞价承诺书。</w:t>
      </w:r>
    </w:p>
    <w:p>
      <w:pPr>
        <w:spacing w:line="280" w:lineRule="exact"/>
        <w:ind w:firstLine="720" w:firstLineChars="300"/>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注：(1) 法人包括企业法人、机关法人、事业单位法人和社会团体法人，提供统一社会信用代码营业执照复印件。 (2)社会保障资金的相关材料，是指提供报名截止时间前六个月任一个月的缴纳社会保险的凭据；或者提供不需要缴纳社会保障资金的声明函。(3)提供无行贿犯罪承诺函（书面说明并加盖供应商公章）。</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三、报名要求</w:t>
      </w:r>
    </w:p>
    <w:p>
      <w:pPr>
        <w:rPr>
          <w:rFonts w:ascii="宋体" w:hAnsi="宋体" w:eastAsia="宋体" w:cs="宋体"/>
          <w:bCs/>
          <w:color w:val="000000" w:themeColor="text1"/>
          <w:kern w:val="0"/>
          <w:sz w:val="24"/>
          <w:shd w:val="clear" w:color="auto" w:fill="FFFFFF"/>
          <w14:textFill>
            <w14:solidFill>
              <w14:schemeClr w14:val="tx1"/>
            </w14:solidFill>
          </w14:textFill>
        </w:rPr>
      </w:pPr>
    </w:p>
    <w:p>
      <w:pPr>
        <w:ind w:firstLine="480" w:firstLineChars="200"/>
        <w:rPr>
          <w:rFonts w:ascii="宋体" w:hAnsi="宋体" w:eastAsia="宋体" w:cs="宋体"/>
          <w:bCs/>
          <w:color w:val="auto"/>
          <w:kern w:val="0"/>
          <w:sz w:val="24"/>
          <w:shd w:val="clear" w:color="auto" w:fill="FFFFFF"/>
        </w:rPr>
      </w:pPr>
      <w:r>
        <w:rPr>
          <w:rFonts w:hint="eastAsia" w:ascii="宋体" w:hAnsi="宋体" w:cs="Arial"/>
          <w:color w:val="auto"/>
          <w:kern w:val="0"/>
          <w:sz w:val="24"/>
          <w:lang w:val="en-US" w:eastAsia="zh-CN"/>
        </w:rPr>
        <w:t>1、</w:t>
      </w:r>
      <w:r>
        <w:rPr>
          <w:rFonts w:hint="eastAsia" w:ascii="宋体" w:hAnsi="宋体" w:cs="Arial"/>
          <w:color w:val="auto"/>
          <w:kern w:val="0"/>
          <w:sz w:val="24"/>
        </w:rPr>
        <w:t>报名时间与竞价文件上传时间：</w:t>
      </w:r>
      <w:r>
        <w:rPr>
          <w:rFonts w:hint="eastAsia" w:ascii="宋体" w:hAnsi="宋体" w:cs="Arial"/>
          <w:b/>
          <w:color w:val="auto"/>
          <w:kern w:val="0"/>
          <w:sz w:val="24"/>
          <w:u w:val="single"/>
        </w:rPr>
        <w:t>202</w:t>
      </w:r>
      <w:r>
        <w:rPr>
          <w:rFonts w:hint="eastAsia" w:ascii="宋体" w:hAnsi="宋体" w:cs="Arial"/>
          <w:b/>
          <w:color w:val="auto"/>
          <w:kern w:val="0"/>
          <w:sz w:val="24"/>
          <w:u w:val="single"/>
          <w:lang w:val="en-US" w:eastAsia="zh-CN"/>
        </w:rPr>
        <w:t>2</w:t>
      </w:r>
      <w:r>
        <w:rPr>
          <w:rFonts w:hint="eastAsia" w:ascii="宋体" w:hAnsi="宋体" w:cs="Arial"/>
          <w:b/>
          <w:color w:val="auto"/>
          <w:kern w:val="0"/>
          <w:sz w:val="24"/>
          <w:u w:val="single"/>
        </w:rPr>
        <w:t>年</w:t>
      </w:r>
      <w:r>
        <w:rPr>
          <w:rFonts w:hint="eastAsia" w:ascii="宋体" w:hAnsi="宋体" w:cs="Arial"/>
          <w:b/>
          <w:color w:val="auto"/>
          <w:kern w:val="0"/>
          <w:sz w:val="24"/>
          <w:u w:val="single"/>
          <w:lang w:val="en-US" w:eastAsia="zh-CN"/>
        </w:rPr>
        <w:t>3</w:t>
      </w:r>
      <w:r>
        <w:rPr>
          <w:rFonts w:hint="eastAsia" w:ascii="宋体" w:hAnsi="宋体" w:cs="Arial"/>
          <w:b/>
          <w:color w:val="auto"/>
          <w:kern w:val="0"/>
          <w:sz w:val="24"/>
          <w:u w:val="single"/>
        </w:rPr>
        <w:t>月</w:t>
      </w:r>
      <w:r>
        <w:rPr>
          <w:rFonts w:hint="eastAsia" w:ascii="宋体" w:hAnsi="宋体" w:cs="Arial"/>
          <w:b/>
          <w:color w:val="auto"/>
          <w:kern w:val="0"/>
          <w:sz w:val="24"/>
          <w:u w:val="single"/>
          <w:lang w:val="en-US" w:eastAsia="zh-CN"/>
        </w:rPr>
        <w:t xml:space="preserve"> 01</w:t>
      </w:r>
      <w:r>
        <w:rPr>
          <w:rFonts w:hint="eastAsia" w:ascii="宋体" w:hAnsi="宋体" w:cs="Arial"/>
          <w:b/>
          <w:color w:val="auto"/>
          <w:kern w:val="0"/>
          <w:sz w:val="24"/>
          <w:u w:val="single"/>
        </w:rPr>
        <w:t>日至202</w:t>
      </w:r>
      <w:r>
        <w:rPr>
          <w:rFonts w:hint="eastAsia" w:ascii="宋体" w:hAnsi="宋体" w:cs="Arial"/>
          <w:b/>
          <w:color w:val="auto"/>
          <w:kern w:val="0"/>
          <w:sz w:val="24"/>
          <w:u w:val="single"/>
          <w:lang w:val="en-US" w:eastAsia="zh-CN"/>
        </w:rPr>
        <w:t>2</w:t>
      </w:r>
      <w:r>
        <w:rPr>
          <w:rFonts w:hint="eastAsia" w:ascii="宋体" w:hAnsi="宋体" w:cs="Arial"/>
          <w:b/>
          <w:color w:val="auto"/>
          <w:kern w:val="0"/>
          <w:sz w:val="24"/>
          <w:u w:val="single"/>
        </w:rPr>
        <w:t>年</w:t>
      </w:r>
      <w:r>
        <w:rPr>
          <w:rFonts w:hint="eastAsia" w:ascii="宋体" w:hAnsi="宋体" w:cs="Arial"/>
          <w:b/>
          <w:color w:val="auto"/>
          <w:kern w:val="0"/>
          <w:sz w:val="24"/>
          <w:u w:val="single"/>
          <w:lang w:val="en-US" w:eastAsia="zh-CN"/>
        </w:rPr>
        <w:t>3</w:t>
      </w:r>
      <w:r>
        <w:rPr>
          <w:rFonts w:hint="eastAsia" w:ascii="宋体" w:hAnsi="宋体" w:cs="Arial"/>
          <w:b/>
          <w:color w:val="auto"/>
          <w:kern w:val="0"/>
          <w:sz w:val="24"/>
          <w:u w:val="single"/>
        </w:rPr>
        <w:t>月</w:t>
      </w:r>
      <w:r>
        <w:rPr>
          <w:rFonts w:hint="eastAsia" w:ascii="宋体" w:hAnsi="宋体" w:cs="Arial"/>
          <w:b/>
          <w:color w:val="auto"/>
          <w:kern w:val="0"/>
          <w:sz w:val="24"/>
          <w:u w:val="single"/>
          <w:lang w:val="en-US" w:eastAsia="zh-CN"/>
        </w:rPr>
        <w:t xml:space="preserve">03 </w:t>
      </w:r>
      <w:r>
        <w:rPr>
          <w:rFonts w:hint="eastAsia" w:ascii="宋体" w:hAnsi="宋体" w:cs="Arial"/>
          <w:b/>
          <w:color w:val="auto"/>
          <w:kern w:val="0"/>
          <w:sz w:val="24"/>
          <w:u w:val="single"/>
        </w:rPr>
        <w:t>日17:30止</w:t>
      </w:r>
      <w:r>
        <w:rPr>
          <w:rFonts w:hint="eastAsia" w:ascii="宋体" w:hAnsi="宋体" w:cs="Arial"/>
          <w:color w:val="auto"/>
          <w:kern w:val="0"/>
          <w:sz w:val="24"/>
        </w:rPr>
        <w:t>，北京时间上午</w:t>
      </w:r>
      <w:r>
        <w:rPr>
          <w:rFonts w:hint="eastAsia" w:ascii="宋体" w:hAnsi="宋体" w:cs="Arial"/>
          <w:color w:val="auto"/>
          <w:kern w:val="0"/>
          <w:sz w:val="24"/>
          <w:lang w:val="en-US" w:eastAsia="zh-CN"/>
        </w:rPr>
        <w:t>9：0</w:t>
      </w:r>
      <w:r>
        <w:rPr>
          <w:rFonts w:hint="eastAsia" w:ascii="宋体" w:hAnsi="宋体" w:cs="Arial"/>
          <w:color w:val="auto"/>
          <w:kern w:val="0"/>
          <w:sz w:val="24"/>
        </w:rPr>
        <w:t>0-1</w:t>
      </w:r>
      <w:r>
        <w:rPr>
          <w:rFonts w:hint="eastAsia" w:ascii="宋体" w:hAnsi="宋体" w:cs="Arial"/>
          <w:color w:val="auto"/>
          <w:kern w:val="0"/>
          <w:sz w:val="24"/>
          <w:lang w:val="en-US" w:eastAsia="zh-CN"/>
        </w:rPr>
        <w:t>1</w:t>
      </w:r>
      <w:r>
        <w:rPr>
          <w:rFonts w:hint="eastAsia" w:ascii="宋体" w:hAnsi="宋体" w:cs="Arial"/>
          <w:color w:val="auto"/>
          <w:kern w:val="0"/>
          <w:sz w:val="24"/>
        </w:rPr>
        <w:t>:</w:t>
      </w:r>
      <w:r>
        <w:rPr>
          <w:rFonts w:hint="eastAsia" w:ascii="宋体" w:hAnsi="宋体" w:cs="Arial"/>
          <w:color w:val="auto"/>
          <w:kern w:val="0"/>
          <w:sz w:val="24"/>
          <w:lang w:val="en-US" w:eastAsia="zh-CN"/>
        </w:rPr>
        <w:t>3</w:t>
      </w:r>
      <w:r>
        <w:rPr>
          <w:rFonts w:hint="eastAsia" w:ascii="宋体" w:hAnsi="宋体" w:cs="Arial"/>
          <w:color w:val="auto"/>
          <w:kern w:val="0"/>
          <w:sz w:val="24"/>
        </w:rPr>
        <w:t>0，下午14:</w:t>
      </w:r>
      <w:r>
        <w:rPr>
          <w:rFonts w:hint="eastAsia" w:ascii="宋体" w:hAnsi="宋体" w:cs="Arial"/>
          <w:color w:val="auto"/>
          <w:kern w:val="0"/>
          <w:sz w:val="24"/>
          <w:lang w:val="en-US" w:eastAsia="zh-CN"/>
        </w:rPr>
        <w:t>3</w:t>
      </w:r>
      <w:r>
        <w:rPr>
          <w:rFonts w:hint="eastAsia" w:ascii="宋体" w:hAnsi="宋体" w:cs="Arial"/>
          <w:color w:val="auto"/>
          <w:kern w:val="0"/>
          <w:sz w:val="24"/>
        </w:rPr>
        <w:t>0-17：30时（正常工作时间，节假日除外）</w:t>
      </w:r>
    </w:p>
    <w:p>
      <w:pPr>
        <w:widowControl/>
        <w:spacing w:line="440" w:lineRule="exact"/>
        <w:ind w:left="269" w:leftChars="128" w:firstLine="249" w:firstLineChars="104"/>
        <w:jc w:val="left"/>
        <w:rPr>
          <w:rFonts w:hint="eastAsia" w:ascii="宋体" w:hAnsi="宋体" w:eastAsia="宋体" w:cs="宋体"/>
          <w:bCs/>
          <w:color w:val="auto"/>
          <w:kern w:val="0"/>
          <w:sz w:val="24"/>
          <w:shd w:val="clear" w:color="auto" w:fill="FFFFFF"/>
          <w:lang w:val="en-US" w:eastAsia="zh-CN"/>
        </w:rPr>
      </w:pPr>
      <w:r>
        <w:rPr>
          <w:rFonts w:hint="eastAsia" w:ascii="宋体" w:hAnsi="宋体" w:eastAsia="宋体" w:cs="宋体"/>
          <w:bCs/>
          <w:color w:val="auto"/>
          <w:kern w:val="0"/>
          <w:sz w:val="24"/>
          <w:shd w:val="clear" w:color="auto" w:fill="FFFFFF"/>
          <w:lang w:val="en-US" w:eastAsia="zh-CN"/>
        </w:rPr>
        <w:t>2、</w:t>
      </w:r>
      <w:r>
        <w:rPr>
          <w:rFonts w:hint="eastAsia" w:ascii="宋体" w:hAnsi="宋体" w:eastAsia="宋体" w:cs="宋体"/>
          <w:b/>
          <w:bCs/>
          <w:color w:val="auto"/>
          <w:kern w:val="0"/>
          <w:sz w:val="24"/>
          <w:shd w:val="pct10" w:color="auto" w:fill="FFFFFF"/>
        </w:rPr>
        <w:t>竞价时间：202</w:t>
      </w:r>
      <w:r>
        <w:rPr>
          <w:rFonts w:hint="eastAsia" w:ascii="宋体" w:hAnsi="宋体" w:eastAsia="宋体" w:cs="宋体"/>
          <w:b/>
          <w:bCs/>
          <w:color w:val="auto"/>
          <w:kern w:val="0"/>
          <w:sz w:val="24"/>
          <w:shd w:val="pct10" w:color="auto" w:fill="FFFFFF"/>
          <w:lang w:val="en-US" w:eastAsia="zh-CN"/>
        </w:rPr>
        <w:t>2</w:t>
      </w:r>
      <w:r>
        <w:rPr>
          <w:rFonts w:hint="eastAsia" w:ascii="宋体" w:hAnsi="宋体" w:eastAsia="宋体" w:cs="宋体"/>
          <w:b/>
          <w:bCs/>
          <w:color w:val="auto"/>
          <w:kern w:val="0"/>
          <w:sz w:val="24"/>
          <w:shd w:val="pct10" w:color="auto" w:fill="FFFFFF"/>
        </w:rPr>
        <w:t xml:space="preserve">年 </w:t>
      </w:r>
      <w:r>
        <w:rPr>
          <w:rFonts w:hint="eastAsia" w:ascii="宋体" w:hAnsi="宋体" w:eastAsia="宋体" w:cs="宋体"/>
          <w:b/>
          <w:bCs/>
          <w:color w:val="auto"/>
          <w:kern w:val="0"/>
          <w:sz w:val="24"/>
          <w:shd w:val="pct10" w:color="auto" w:fill="FFFFFF"/>
          <w:lang w:val="en-US" w:eastAsia="zh-CN"/>
        </w:rPr>
        <w:t>3</w:t>
      </w:r>
      <w:r>
        <w:rPr>
          <w:rFonts w:hint="eastAsia" w:ascii="宋体" w:hAnsi="宋体" w:eastAsia="宋体" w:cs="宋体"/>
          <w:b/>
          <w:bCs/>
          <w:color w:val="auto"/>
          <w:kern w:val="0"/>
          <w:sz w:val="24"/>
          <w:shd w:val="pct10" w:color="auto" w:fill="FFFFFF"/>
        </w:rPr>
        <w:t>月</w:t>
      </w:r>
      <w:r>
        <w:rPr>
          <w:rFonts w:hint="eastAsia" w:ascii="宋体" w:hAnsi="宋体" w:eastAsia="宋体" w:cs="宋体"/>
          <w:b/>
          <w:bCs/>
          <w:color w:val="auto"/>
          <w:kern w:val="0"/>
          <w:sz w:val="24"/>
          <w:shd w:val="pct10" w:color="auto" w:fill="FFFFFF"/>
          <w:lang w:val="en-US" w:eastAsia="zh-CN"/>
        </w:rPr>
        <w:t xml:space="preserve"> 4 </w:t>
      </w:r>
      <w:r>
        <w:rPr>
          <w:rFonts w:hint="eastAsia" w:ascii="宋体" w:hAnsi="宋体" w:eastAsia="宋体" w:cs="宋体"/>
          <w:b/>
          <w:bCs/>
          <w:color w:val="auto"/>
          <w:kern w:val="0"/>
          <w:sz w:val="24"/>
          <w:shd w:val="pct10" w:color="auto" w:fill="FFFFFF"/>
        </w:rPr>
        <w:t>日上午09:00至 11：00</w:t>
      </w:r>
    </w:p>
    <w:p>
      <w:pPr>
        <w:ind w:firstLine="480" w:firstLineChars="200"/>
        <w:rPr>
          <w:rFonts w:hint="eastAsia"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lang w:val="en-US" w:eastAsia="zh-CN"/>
          <w14:textFill>
            <w14:solidFill>
              <w14:schemeClr w14:val="tx1"/>
            </w14:solidFill>
          </w14:textFill>
        </w:rPr>
        <w:t>3、</w:t>
      </w:r>
      <w:r>
        <w:rPr>
          <w:rFonts w:hint="eastAsia" w:ascii="宋体" w:hAnsi="宋体" w:eastAsia="宋体" w:cs="宋体"/>
          <w:bCs/>
          <w:color w:val="000000" w:themeColor="text1"/>
          <w:kern w:val="0"/>
          <w:sz w:val="24"/>
          <w:shd w:val="clear" w:color="auto" w:fill="FFFFFF"/>
          <w14:textFill>
            <w14:solidFill>
              <w14:schemeClr w14:val="tx1"/>
            </w14:solidFill>
          </w14:textFill>
        </w:rPr>
        <w:t>关于网上竞价线上报名流程：</w:t>
      </w:r>
    </w:p>
    <w:p>
      <w:pPr>
        <w:ind w:firstLine="480" w:firstLineChars="200"/>
        <w:rPr>
          <w:rFonts w:hint="eastAsia"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第一步：请各潜在报价人登录【福建优胜招标项目管理集团有限公司网站（http://www. fjyszb.com/）】首页进行供应商注册；</w:t>
      </w:r>
    </w:p>
    <w:p>
      <w:pPr>
        <w:ind w:firstLine="480" w:firstLineChars="200"/>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第二步：供应商注册审核经通过后，供应商应登录供应商后台进行项目报名，待报名审核通过后，</w:t>
      </w:r>
      <w:r>
        <w:rPr>
          <w:rFonts w:hint="eastAsia" w:ascii="宋体" w:hAnsi="宋体" w:eastAsia="宋体" w:cs="宋体"/>
          <w:bCs/>
          <w:color w:val="auto"/>
          <w:kern w:val="0"/>
          <w:sz w:val="24"/>
          <w:shd w:val="clear" w:color="auto" w:fill="FFFFFF"/>
        </w:rPr>
        <w:t>供应商须上传电子版响应文件，否则竞价将被拒绝</w:t>
      </w:r>
      <w:r>
        <w:rPr>
          <w:rFonts w:hint="eastAsia" w:ascii="宋体" w:hAnsi="宋体" w:eastAsia="宋体" w:cs="宋体"/>
          <w:bCs/>
          <w:color w:val="000000" w:themeColor="text1"/>
          <w:kern w:val="0"/>
          <w:sz w:val="24"/>
          <w:shd w:val="clear" w:color="auto" w:fill="FFFFFF"/>
          <w14:textFill>
            <w14:solidFill>
              <w14:schemeClr w14:val="tx1"/>
            </w14:solidFill>
          </w14:textFill>
        </w:rPr>
        <w:t>。</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四、竞价须知</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1、本项目未经过进口产品论证，采购的货物为国内产品，不接受进口产品投标。国内产品含在中国境内生产的中外合资产品，且国内生产成本超过一定比例的最终产品，国内生产成本比例=(产品出厂价格-进口价格)/产品出厂价格；凡在海关特殊监管区域(保税区、出口加工区、保税港区、珠澳跨境工业区珠海园区、中哈霍尔果斯国际边境合作中心中方配套区、综合保税区)内企业生产或加工(包括从境外进口料件)销往境内其他地区的产品，不作为政府采购项下进口产品。进口产品是指通过中国海关报关验放进入中国境内且产自关境外的产品。</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2、若本次采购货物属于政府强制采购节能产品的（节能产品政府采购清单目录中加★号的），供应商须提供《节能产品政府采购清单》内的产品，并在报价文件中提供相关证明材料，未按此要求的，竞价无效。</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3、供应商所投货物若在中国国家认证认可监督管理委员会的《强制性产品认证目录描述与界定表》范畴内，必须在报价文件中提供相关证明材料，且在有效期内，未按此要求的，竞价无效。</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4、供应商须打印报价文件签字确认并每页加盖公章后扫描上传报价文件（电子档Jpg或pdf或文件夹压缩包RAR），包括但不限于以下内容：统一社会信用代码营业执照、法人代表授权书(法人及授权人身份证)、近期（提交报价文件截止时间前六个月任意一个月）缴纳社会保险的凭据、竞价书、竞价人声明、竞价一览表、货物说明一览表、售后服务承诺、节能产品政府采购清单相关材料（若有）、3C认证证书（若有）。未按上述条款要求扫描上传报价文件的竞价无效。电子报价文档具有法律效力。</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5、供应商自行承担所有参与报价的全部相关费用，本项目若无</w:t>
      </w:r>
      <w:r>
        <w:rPr>
          <w:rFonts w:hint="eastAsia" w:ascii="宋体" w:hAnsi="宋体" w:eastAsia="宋体" w:cs="宋体"/>
          <w:b/>
          <w:bCs w:val="0"/>
          <w:color w:val="000000" w:themeColor="text1"/>
          <w:kern w:val="0"/>
          <w:sz w:val="24"/>
          <w:shd w:val="clear" w:color="auto" w:fill="FFFFFF"/>
          <w:lang w:val="en-US" w:eastAsia="zh-CN"/>
          <w14:textFill>
            <w14:solidFill>
              <w14:schemeClr w14:val="tx1"/>
            </w14:solidFill>
          </w14:textFill>
        </w:rPr>
        <w:t>三</w:t>
      </w:r>
      <w:r>
        <w:rPr>
          <w:rFonts w:hint="eastAsia" w:ascii="宋体" w:hAnsi="宋体" w:eastAsia="宋体" w:cs="宋体"/>
          <w:b/>
          <w:bCs w:val="0"/>
          <w:color w:val="000000" w:themeColor="text1"/>
          <w:kern w:val="0"/>
          <w:sz w:val="24"/>
          <w:shd w:val="clear" w:color="auto" w:fill="FFFFFF"/>
          <w14:textFill>
            <w14:solidFill>
              <w14:schemeClr w14:val="tx1"/>
            </w14:solidFill>
          </w14:textFill>
        </w:rPr>
        <w:t>个(含)</w:t>
      </w:r>
      <w:r>
        <w:rPr>
          <w:rFonts w:hint="eastAsia" w:ascii="宋体" w:hAnsi="宋体" w:eastAsia="宋体" w:cs="宋体"/>
          <w:bCs/>
          <w:color w:val="000000" w:themeColor="text1"/>
          <w:kern w:val="0"/>
          <w:sz w:val="24"/>
          <w:shd w:val="clear" w:color="auto" w:fill="FFFFFF"/>
          <w14:textFill>
            <w14:solidFill>
              <w14:schemeClr w14:val="tx1"/>
            </w14:solidFill>
          </w14:textFill>
        </w:rPr>
        <w:t>以上供应商参与竞价的，本项目将做废标处理。</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6、供应商应详细阅读关于本次网上竞价项目采购的竞价公告内容，自行承担，在整个竞价过程及操作过程（计算机及其操作系统的使用，IE浏览器升级，输入法安装调试，控件插件的安装，杀毒软件、木马病毒的排查、网络带宽的延迟及掉线，断网等）</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五、竞价准则</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1、采购代理机构将采购人提出的采购需求在福建优胜招标项目管理集团有限公司网站（http://www.fjyszb.com）、中国政府采购网（http://www.ccgp.gov.cn/）进行发布。网上竞价的报价时限为竞价公告截止后两个小时内，在报价时限截止前，潜在供应商可通过福建优胜招标项目管理集团有限公司网（http://www.fjyszb.com）竞平台进行竞价。在符合采购需求且报价有效的前提下，报价最低者成交（报价相同的，以报价时间优先者成交）。</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2、本项目最高折扣价为100%，竞价过程中，供应商提交的最终报价必须低于最高折扣，否则视为无效报价。</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3、符合以上要求的报价，可以在规定的报价时限内不限次数报价，直到竞价截止时间为止。</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4、各供应商的报价须符合《中华人民共和国政府采购法》第二条“采购，是指以合同方式有偿取得货物、工程和服务的行为，包括购买、租赁、委托、雇用等”的相关规定。</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5、供应商已详细审查全部竞价公告，包括修改竞价公告(如有的话)和有关附件，将自行承担因对全部竞价公告理解不正确或误解而产生的相应后果。</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6、供应商同意提供按照采购代理机构可能要求的与其竞价有关的一切数据或资料，完全理解采购代理机构不一定要接受最低的竞价或收到的任何竞价。</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六、竞价结果确认</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1、网上竞价公告期满，采购代理机构以成交结果通知书等方式书面通知采购单位。同时将成交结果等信息在福建优胜招标项目管理集团有限公司上发布成交公告。公告期限为本公告之日起1个工作日。</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auto"/>
          <w:kern w:val="0"/>
          <w:sz w:val="24"/>
          <w:shd w:val="clear" w:color="auto" w:fill="FFFFFF"/>
        </w:rPr>
      </w:pPr>
      <w:r>
        <w:rPr>
          <w:rFonts w:hint="eastAsia" w:ascii="宋体" w:hAnsi="宋体" w:eastAsia="宋体" w:cs="宋体"/>
          <w:bCs/>
          <w:color w:val="000000" w:themeColor="text1"/>
          <w:kern w:val="0"/>
          <w:sz w:val="24"/>
          <w:shd w:val="clear" w:color="auto" w:fill="FFFFFF"/>
          <w14:textFill>
            <w14:solidFill>
              <w14:schemeClr w14:val="tx1"/>
            </w14:solidFill>
          </w14:textFill>
        </w:rPr>
        <w:t>2、成交公告发布之日起1个工作日后，成交人即可携带网上竞价项目报价文件原件</w:t>
      </w:r>
      <w:r>
        <w:rPr>
          <w:rFonts w:hint="eastAsia" w:ascii="宋体" w:hAnsi="宋体" w:eastAsia="宋体" w:cs="宋体"/>
          <w:b/>
          <w:bCs w:val="0"/>
          <w:color w:val="000000" w:themeColor="text1"/>
          <w:kern w:val="0"/>
          <w:sz w:val="24"/>
          <w:shd w:val="clear" w:color="auto" w:fill="FFFFFF"/>
          <w14:textFill>
            <w14:solidFill>
              <w14:schemeClr w14:val="tx1"/>
            </w14:solidFill>
          </w14:textFill>
        </w:rPr>
        <w:t>一</w:t>
      </w:r>
      <w:r>
        <w:rPr>
          <w:rFonts w:hint="eastAsia" w:ascii="宋体" w:hAnsi="宋体" w:eastAsia="宋体" w:cs="宋体"/>
          <w:b/>
          <w:bCs w:val="0"/>
          <w:color w:val="000000" w:themeColor="text1"/>
          <w:kern w:val="0"/>
          <w:sz w:val="24"/>
          <w:shd w:val="clear" w:color="auto" w:fill="FFFFFF"/>
          <w:lang w:val="en-US" w:eastAsia="zh-CN"/>
          <w14:textFill>
            <w14:solidFill>
              <w14:schemeClr w14:val="tx1"/>
            </w14:solidFill>
          </w14:textFill>
        </w:rPr>
        <w:t>正三副</w:t>
      </w:r>
      <w:r>
        <w:rPr>
          <w:rFonts w:hint="eastAsia" w:ascii="宋体" w:hAnsi="宋体" w:eastAsia="宋体" w:cs="宋体"/>
          <w:bCs/>
          <w:color w:val="000000" w:themeColor="text1"/>
          <w:kern w:val="0"/>
          <w:sz w:val="24"/>
          <w:shd w:val="clear" w:color="auto" w:fill="FFFFFF"/>
          <w14:textFill>
            <w14:solidFill>
              <w14:schemeClr w14:val="tx1"/>
            </w14:solidFill>
          </w14:textFill>
        </w:rPr>
        <w:t>至采购代理机构处领取成交通知书。供应商携带的网上竞价项目报价文件包括但不限于以下内容：</w:t>
      </w:r>
      <w:r>
        <w:rPr>
          <w:rFonts w:hint="eastAsia" w:ascii="宋体" w:hAnsi="宋体" w:eastAsia="宋体" w:cs="宋体"/>
          <w:bCs/>
          <w:color w:val="auto"/>
          <w:kern w:val="0"/>
          <w:sz w:val="24"/>
          <w:shd w:val="clear" w:color="auto" w:fill="FFFFFF"/>
        </w:rPr>
        <w:t>统一社会信用代码营业执照、近期（提交报价文件截止时间前六个月任意一个月）缴纳社会保险的凭据、竞价书、竞价人声明、竞价一览表、货物说明一览表、售后服务承诺、报价代表人的法定代表人授权书、节能产品政府采购清单相关材料（若有）、3C认证证书（若有）。以上材料必须加盖报价单位公章，并由成交人的法定代表人（或其授权代表）签字。报价文件须加盖骑缝章，且装订成册。</w:t>
      </w:r>
    </w:p>
    <w:p>
      <w:pPr>
        <w:rPr>
          <w:rFonts w:ascii="宋体" w:hAnsi="宋体" w:eastAsia="宋体" w:cs="宋体"/>
          <w:bCs/>
          <w:color w:val="auto"/>
          <w:kern w:val="0"/>
          <w:sz w:val="24"/>
          <w:shd w:val="clear" w:color="auto" w:fill="FFFFFF"/>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bCs w:val="0"/>
          <w:color w:val="000000" w:themeColor="text1"/>
          <w:kern w:val="0"/>
          <w:sz w:val="24"/>
          <w:shd w:val="clear" w:color="auto" w:fill="FFFFFF"/>
          <w14:textFill>
            <w14:solidFill>
              <w14:schemeClr w14:val="tx1"/>
            </w14:solidFill>
          </w14:textFill>
        </w:rPr>
        <w:t>七</w:t>
      </w:r>
      <w:r>
        <w:rPr>
          <w:rFonts w:hint="eastAsia" w:ascii="宋体" w:hAnsi="宋体" w:eastAsia="宋体" w:cs="宋体"/>
          <w:bCs/>
          <w:color w:val="000000" w:themeColor="text1"/>
          <w:kern w:val="0"/>
          <w:sz w:val="24"/>
          <w:shd w:val="clear" w:color="auto" w:fill="FFFFFF"/>
          <w14:textFill>
            <w14:solidFill>
              <w14:schemeClr w14:val="tx1"/>
            </w14:solidFill>
          </w14:textFill>
        </w:rPr>
        <w:t>、</w:t>
      </w:r>
      <w:r>
        <w:rPr>
          <w:rFonts w:hint="eastAsia" w:ascii="宋体" w:hAnsi="宋体" w:eastAsia="宋体" w:cs="宋体"/>
          <w:b/>
          <w:color w:val="000000" w:themeColor="text1"/>
          <w:kern w:val="0"/>
          <w:sz w:val="24"/>
          <w:shd w:val="clear" w:color="auto" w:fill="FFFFFF"/>
          <w14:textFill>
            <w14:solidFill>
              <w14:schemeClr w14:val="tx1"/>
            </w14:solidFill>
          </w14:textFill>
        </w:rPr>
        <w:t>竞价保证金</w:t>
      </w:r>
    </w:p>
    <w:p>
      <w:pPr>
        <w:rPr>
          <w:rFonts w:ascii="宋体" w:hAnsi="宋体" w:eastAsia="宋体" w:cs="宋体"/>
          <w:bCs/>
          <w:color w:val="000000" w:themeColor="text1"/>
          <w:kern w:val="0"/>
          <w:sz w:val="24"/>
          <w:shd w:val="clear" w:color="auto" w:fill="FFFFFF"/>
          <w14:textFill>
            <w14:solidFill>
              <w14:schemeClr w14:val="tx1"/>
            </w14:solidFill>
          </w14:textFill>
        </w:rPr>
      </w:pPr>
    </w:p>
    <w:p>
      <w:pPr>
        <w:widowControl/>
        <w:numPr>
          <w:ilvl w:val="-1"/>
          <w:numId w:val="0"/>
        </w:numPr>
        <w:spacing w:line="440" w:lineRule="exact"/>
        <w:ind w:firstLine="0" w:firstLineChars="0"/>
        <w:jc w:val="left"/>
        <w:rPr>
          <w:rFonts w:hint="eastAsia" w:ascii="宋体" w:hAnsi="宋体" w:eastAsia="宋体" w:cs="宋体"/>
          <w:b/>
          <w:color w:val="auto"/>
          <w:kern w:val="0"/>
          <w:sz w:val="24"/>
          <w:shd w:val="clear" w:color="auto" w:fill="FFFFFF"/>
        </w:rPr>
      </w:pPr>
      <w:r>
        <w:rPr>
          <w:rFonts w:hint="eastAsia" w:ascii="宋体" w:hAnsi="宋体" w:eastAsia="宋体" w:cs="宋体"/>
          <w:b/>
          <w:color w:val="auto"/>
          <w:kern w:val="0"/>
          <w:sz w:val="24"/>
          <w:shd w:val="clear" w:color="auto" w:fill="FFFFFF"/>
          <w:lang w:val="en-US" w:eastAsia="zh-CN"/>
        </w:rPr>
        <w:t>1、</w:t>
      </w:r>
      <w:r>
        <w:rPr>
          <w:rFonts w:hint="eastAsia" w:ascii="宋体" w:hAnsi="宋体" w:eastAsia="宋体" w:cs="宋体"/>
          <w:b/>
          <w:color w:val="auto"/>
          <w:kern w:val="0"/>
          <w:sz w:val="24"/>
          <w:shd w:val="clear" w:color="auto" w:fill="FFFFFF"/>
        </w:rPr>
        <w:t>竞价保证金人民币</w:t>
      </w:r>
      <w:r>
        <w:rPr>
          <w:rFonts w:hint="eastAsia" w:ascii="宋体" w:hAnsi="宋体" w:eastAsia="宋体" w:cs="宋体"/>
          <w:b/>
          <w:color w:val="auto"/>
          <w:kern w:val="0"/>
          <w:sz w:val="24"/>
          <w:shd w:val="clear" w:color="auto" w:fill="FFFFFF"/>
          <w:lang w:val="en-US" w:eastAsia="zh-CN"/>
        </w:rPr>
        <w:t>1000</w:t>
      </w:r>
      <w:r>
        <w:rPr>
          <w:rFonts w:hint="eastAsia" w:ascii="宋体" w:hAnsi="宋体" w:eastAsia="宋体" w:cs="宋体"/>
          <w:b/>
          <w:color w:val="auto"/>
          <w:kern w:val="0"/>
          <w:sz w:val="24"/>
          <w:shd w:val="clear" w:color="auto" w:fill="FFFFFF"/>
        </w:rPr>
        <w:t>元整，各竞价人应于竞价截止日前一</w:t>
      </w:r>
      <w:r>
        <w:rPr>
          <w:rFonts w:hint="eastAsia" w:ascii="宋体" w:hAnsi="宋体" w:eastAsia="宋体" w:cs="宋体"/>
          <w:b/>
          <w:color w:val="auto"/>
          <w:kern w:val="0"/>
          <w:sz w:val="24"/>
          <w:shd w:val="clear" w:color="auto" w:fill="FFFFFF"/>
          <w:lang w:val="en-US" w:eastAsia="zh-CN"/>
        </w:rPr>
        <w:t>个工作日</w:t>
      </w:r>
      <w:r>
        <w:rPr>
          <w:rFonts w:hint="eastAsia" w:ascii="宋体" w:hAnsi="宋体" w:eastAsia="宋体" w:cs="宋体"/>
          <w:b/>
          <w:color w:val="auto"/>
          <w:kern w:val="0"/>
          <w:sz w:val="24"/>
          <w:shd w:val="clear" w:color="auto" w:fill="FFFFFF"/>
        </w:rPr>
        <w:t>将保证金汇入福建优胜招标项目管理集团有限公司指定账户,以福建优胜招标项目管理集团有限公司指定开户银行到账凭证为准，否则视为未提交，将无法参与竞价)。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numPr>
                <w:ilvl w:val="-1"/>
                <w:numId w:val="0"/>
              </w:numPr>
              <w:spacing w:line="440" w:lineRule="exact"/>
              <w:jc w:val="left"/>
              <w:rPr>
                <w:rFonts w:ascii="宋体" w:hAnsi="宋体" w:cs="Arial"/>
                <w:color w:val="auto"/>
                <w:kern w:val="0"/>
                <w:sz w:val="24"/>
                <w:vertAlign w:val="baseline"/>
              </w:rPr>
            </w:pPr>
            <w:r>
              <w:rPr>
                <w:rFonts w:ascii="宋体" w:hAnsi="宋体" w:cs="Arial"/>
                <w:color w:val="auto"/>
                <w:kern w:val="0"/>
                <w:sz w:val="24"/>
              </w:rPr>
              <w:t>开户名称：</w:t>
            </w:r>
            <w:r>
              <w:rPr>
                <w:rFonts w:hint="eastAsia" w:ascii="宋体" w:hAnsi="宋体" w:cs="Arial"/>
                <w:color w:val="auto"/>
                <w:kern w:val="0"/>
                <w:sz w:val="24"/>
              </w:rPr>
              <w:t>福建优胜招标项目管理集团有限公司龙岩分公司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numPr>
                <w:ilvl w:val="-1"/>
                <w:numId w:val="0"/>
              </w:numPr>
              <w:spacing w:line="440" w:lineRule="exact"/>
              <w:jc w:val="left"/>
              <w:rPr>
                <w:rFonts w:ascii="宋体" w:hAnsi="宋体" w:cs="Arial"/>
                <w:color w:val="auto"/>
                <w:kern w:val="0"/>
                <w:sz w:val="24"/>
                <w:vertAlign w:val="baseline"/>
              </w:rPr>
            </w:pPr>
            <w:r>
              <w:rPr>
                <w:rFonts w:ascii="宋体" w:hAnsi="宋体" w:cs="Arial"/>
                <w:color w:val="auto"/>
                <w:kern w:val="0"/>
                <w:sz w:val="24"/>
              </w:rPr>
              <w:t>开户银行：</w:t>
            </w:r>
            <w:r>
              <w:rPr>
                <w:rFonts w:hint="eastAsia" w:ascii="宋体" w:hAnsi="宋体" w:cs="Arial"/>
                <w:color w:val="auto"/>
                <w:kern w:val="0"/>
                <w:sz w:val="24"/>
              </w:rPr>
              <w:t>中国建设银行股份有限公司龙岩第一支行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numPr>
                <w:ilvl w:val="-1"/>
                <w:numId w:val="0"/>
              </w:numPr>
              <w:spacing w:line="440" w:lineRule="exact"/>
              <w:jc w:val="left"/>
              <w:rPr>
                <w:rFonts w:ascii="宋体" w:hAnsi="宋体" w:cs="Arial"/>
                <w:color w:val="auto"/>
                <w:kern w:val="0"/>
                <w:sz w:val="24"/>
                <w:vertAlign w:val="baseline"/>
              </w:rPr>
            </w:pPr>
            <w:r>
              <w:rPr>
                <w:rFonts w:ascii="宋体" w:hAnsi="宋体" w:cs="Arial"/>
                <w:color w:val="auto"/>
                <w:kern w:val="0"/>
                <w:sz w:val="24"/>
                <w:vertAlign w:val="baseline"/>
              </w:rPr>
              <w:t>账</w:t>
            </w:r>
            <w:r>
              <w:rPr>
                <w:rFonts w:hint="eastAsia" w:ascii="宋体" w:hAnsi="宋体" w:cs="Arial"/>
                <w:color w:val="auto"/>
                <w:kern w:val="0"/>
                <w:sz w:val="24"/>
                <w:vertAlign w:val="baseline"/>
                <w:lang w:val="en-US" w:eastAsia="zh-CN"/>
              </w:rPr>
              <w:t xml:space="preserve">    </w:t>
            </w:r>
            <w:r>
              <w:rPr>
                <w:rFonts w:ascii="宋体" w:hAnsi="宋体" w:cs="Arial"/>
                <w:color w:val="auto"/>
                <w:kern w:val="0"/>
                <w:sz w:val="24"/>
                <w:vertAlign w:val="baseline"/>
              </w:rPr>
              <w:t>号：</w:t>
            </w:r>
            <w:r>
              <w:rPr>
                <w:rFonts w:hint="eastAsia" w:ascii="宋体" w:hAnsi="宋体" w:cs="Arial"/>
                <w:color w:val="auto"/>
                <w:kern w:val="0"/>
                <w:sz w:val="24"/>
                <w:vertAlign w:val="baseline"/>
              </w:rPr>
              <w:t>3500 1697 7070 5252 7193</w:t>
            </w:r>
          </w:p>
        </w:tc>
      </w:tr>
    </w:tbl>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2、未成交的供应商，在竞价结果公告发布5个工作日后即可申请无息退回，成交供应商在交货验收后，须向采购代理机构提供采购合同及验收凭证。</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八、签订合同、交货时间、交货地点</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1、领取《成交通知书》后，根据要求在30日内签订合同，并按合同要求提供服务。</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2、按竞价报价文件承诺的价格及时向采购单位提供高质量的产品和服务。</w:t>
      </w:r>
    </w:p>
    <w:p>
      <w:pPr>
        <w:rPr>
          <w:rFonts w:ascii="宋体" w:hAnsi="宋体" w:eastAsia="宋体" w:cs="宋体"/>
          <w:b/>
          <w:color w:val="000000" w:themeColor="text1"/>
          <w:kern w:val="0"/>
          <w:sz w:val="24"/>
          <w:shd w:val="clear" w:color="auto" w:fill="FFFFFF"/>
          <w14:textFill>
            <w14:solidFill>
              <w14:schemeClr w14:val="tx1"/>
            </w14:solidFill>
          </w14:textFill>
        </w:rPr>
      </w:pPr>
    </w:p>
    <w:p>
      <w:pPr>
        <w:numPr>
          <w:ilvl w:val="0"/>
          <w:numId w:val="2"/>
        </w:numPr>
        <w:rPr>
          <w:rFonts w:ascii="宋体" w:hAnsi="宋体" w:cs="宋体"/>
          <w:b/>
          <w:color w:val="000000" w:themeColor="text1"/>
          <w:kern w:val="0"/>
          <w:sz w:val="24"/>
          <w:shd w:val="clear" w:color="auto" w:fill="FFFFFF"/>
          <w14:textFill>
            <w14:solidFill>
              <w14:schemeClr w14:val="tx1"/>
            </w14:solidFill>
          </w14:textFill>
        </w:rPr>
      </w:pPr>
      <w:r>
        <w:rPr>
          <w:rFonts w:hint="eastAsia" w:ascii="宋体" w:hAnsi="宋体" w:eastAsia="宋体" w:cs="宋体"/>
          <w:b/>
          <w:color w:val="000000" w:themeColor="text1"/>
          <w:kern w:val="0"/>
          <w:sz w:val="24"/>
          <w:shd w:val="clear" w:color="auto" w:fill="FFFFFF"/>
          <w14:textFill>
            <w14:solidFill>
              <w14:schemeClr w14:val="tx1"/>
            </w14:solidFill>
          </w14:textFill>
        </w:rPr>
        <w:t>招标代理服务费：</w:t>
      </w:r>
      <w:r>
        <w:rPr>
          <w:rFonts w:hint="eastAsia" w:ascii="宋体" w:hAnsi="宋体" w:eastAsia="宋体" w:cs="宋体"/>
          <w:bCs/>
          <w:color w:val="000000" w:themeColor="text1"/>
          <w:kern w:val="0"/>
          <w:sz w:val="24"/>
          <w:shd w:val="clear" w:color="auto" w:fill="FFFFFF"/>
          <w14:textFill>
            <w14:solidFill>
              <w14:schemeClr w14:val="tx1"/>
            </w14:solidFill>
          </w14:textFill>
        </w:rPr>
        <w:t>成交供应商应按照以下规定，向招标代理机构交纳代理服务费：竞价文件内若有冲突条款的，以本条规定为准。根据闽狱采购[2018]3号《关于转发规范政府采购代理机构管理的通知》标准收取代理费：</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（1）以</w:t>
      </w:r>
      <w:r>
        <w:rPr>
          <w:rFonts w:hint="eastAsia" w:ascii="宋体" w:hAnsi="宋体" w:eastAsia="宋体" w:cs="宋体"/>
          <w:bCs/>
          <w:color w:val="000000" w:themeColor="text1"/>
          <w:kern w:val="0"/>
          <w:sz w:val="24"/>
          <w:shd w:val="clear" w:color="auto" w:fill="FFFFFF"/>
          <w:lang w:val="en-US" w:eastAsia="zh-CN"/>
          <w14:textFill>
            <w14:solidFill>
              <w14:schemeClr w14:val="tx1"/>
            </w14:solidFill>
          </w14:textFill>
        </w:rPr>
        <w:t>成交</w:t>
      </w:r>
      <w:r>
        <w:rPr>
          <w:rFonts w:hint="eastAsia" w:ascii="宋体" w:hAnsi="宋体" w:eastAsia="宋体" w:cs="宋体"/>
          <w:bCs/>
          <w:color w:val="000000" w:themeColor="text1"/>
          <w:kern w:val="0"/>
          <w:sz w:val="24"/>
          <w:shd w:val="clear" w:color="auto" w:fill="FFFFFF"/>
          <w14:textFill>
            <w14:solidFill>
              <w14:schemeClr w14:val="tx1"/>
            </w14:solidFill>
          </w14:textFill>
        </w:rPr>
        <w:t>价为计算基数；</w:t>
      </w:r>
    </w:p>
    <w:p>
      <w:pPr>
        <w:rPr>
          <w:rFonts w:ascii="宋体" w:hAnsi="宋体" w:eastAsia="宋体" w:cs="宋体"/>
          <w:bCs/>
          <w:color w:val="000000" w:themeColor="text1"/>
          <w:kern w:val="0"/>
          <w:sz w:val="24"/>
          <w:shd w:val="clear" w:color="auto" w:fill="FFFFFF"/>
          <w14:textFill>
            <w14:solidFill>
              <w14:schemeClr w14:val="tx1"/>
            </w14:solidFill>
          </w14:textFill>
        </w:rPr>
      </w:pPr>
    </w:p>
    <w:p>
      <w:pPr>
        <w:numPr>
          <w:ilvl w:val="0"/>
          <w:numId w:val="3"/>
        </w:num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招标代理服务收费实行累进法计算：成交金额(万元) 收费费率标准 50（含，下同）以下 按1% ；50-100 按0.9% 。</w:t>
      </w:r>
    </w:p>
    <w:p>
      <w:pPr>
        <w:rPr>
          <w:rFonts w:ascii="宋体" w:hAnsi="宋体" w:eastAsia="宋体" w:cs="宋体"/>
          <w:bCs/>
          <w:color w:val="000000" w:themeColor="text1"/>
          <w:kern w:val="0"/>
          <w:sz w:val="24"/>
          <w:shd w:val="clear" w:color="auto" w:fill="FFFFFF"/>
          <w14:textFill>
            <w14:solidFill>
              <w14:schemeClr w14:val="tx1"/>
            </w14:solidFill>
          </w14:textFill>
        </w:rPr>
      </w:pPr>
    </w:p>
    <w:p>
      <w:pPr>
        <w:rPr>
          <w:rFonts w:ascii="宋体" w:hAnsi="宋体" w:eastAsia="宋体" w:cs="宋体"/>
          <w:bCs/>
          <w:color w:val="000000" w:themeColor="text1"/>
          <w:kern w:val="0"/>
          <w:sz w:val="24"/>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（3）代理服务费的交纳方式：</w:t>
      </w:r>
    </w:p>
    <w:p>
      <w:pPr>
        <w:rPr>
          <w:rFonts w:hint="eastAsia" w:ascii="微软雅黑" w:hAnsi="微软雅黑" w:eastAsia="微软雅黑" w:cs="微软雅黑"/>
          <w:color w:val="000000" w:themeColor="text1"/>
          <w:szCs w:val="21"/>
          <w:shd w:val="clear" w:color="auto" w:fill="FFFFFF"/>
          <w14:textFill>
            <w14:solidFill>
              <w14:schemeClr w14:val="tx1"/>
            </w14:solidFill>
          </w14:textFill>
        </w:rPr>
      </w:pPr>
      <w:r>
        <w:rPr>
          <w:rFonts w:hint="eastAsia" w:ascii="宋体" w:hAnsi="宋体" w:eastAsia="宋体" w:cs="宋体"/>
          <w:bCs/>
          <w:color w:val="000000" w:themeColor="text1"/>
          <w:kern w:val="0"/>
          <w:sz w:val="24"/>
          <w:shd w:val="clear" w:color="auto" w:fill="FFFFFF"/>
          <w14:textFill>
            <w14:solidFill>
              <w14:schemeClr w14:val="tx1"/>
            </w14:solidFill>
          </w14:textFill>
        </w:rPr>
        <w:t>代理服务费由成交供应商在代理机构发布中标公告后5个工作日内支付代理服务费，代理服务费以银行转账或现金等付款方式</w:t>
      </w:r>
      <w:r>
        <w:rPr>
          <w:rFonts w:hint="eastAsia" w:ascii="微软雅黑" w:hAnsi="微软雅黑" w:eastAsia="微软雅黑" w:cs="微软雅黑"/>
          <w:color w:val="000000" w:themeColor="text1"/>
          <w:szCs w:val="21"/>
          <w:shd w:val="clear" w:color="auto" w:fill="FFFFFF"/>
          <w14:textFill>
            <w14:solidFill>
              <w14:schemeClr w14:val="tx1"/>
            </w14:solidFill>
          </w14:textFill>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numPr>
                <w:ilvl w:val="-1"/>
                <w:numId w:val="0"/>
              </w:numPr>
              <w:spacing w:line="440" w:lineRule="exact"/>
              <w:jc w:val="left"/>
              <w:rPr>
                <w:rFonts w:ascii="宋体" w:hAnsi="宋体" w:cs="Arial"/>
                <w:color w:val="auto"/>
                <w:kern w:val="0"/>
                <w:sz w:val="24"/>
                <w:vertAlign w:val="baseline"/>
              </w:rPr>
            </w:pPr>
            <w:r>
              <w:rPr>
                <w:rFonts w:ascii="宋体" w:hAnsi="宋体" w:cs="Arial"/>
                <w:color w:val="auto"/>
                <w:kern w:val="0"/>
                <w:sz w:val="24"/>
              </w:rPr>
              <w:t>开户名称：</w:t>
            </w:r>
            <w:r>
              <w:rPr>
                <w:rFonts w:hint="eastAsia" w:ascii="宋体" w:hAnsi="宋体" w:cs="Arial"/>
                <w:color w:val="auto"/>
                <w:kern w:val="0"/>
                <w:sz w:val="24"/>
              </w:rPr>
              <w:t>福建优胜招标项目管理集团有限公司龙岩分公司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numPr>
                <w:ilvl w:val="-1"/>
                <w:numId w:val="0"/>
              </w:numPr>
              <w:spacing w:line="440" w:lineRule="exact"/>
              <w:jc w:val="left"/>
              <w:rPr>
                <w:rFonts w:ascii="宋体" w:hAnsi="宋体" w:cs="Arial"/>
                <w:color w:val="auto"/>
                <w:kern w:val="0"/>
                <w:sz w:val="24"/>
                <w:vertAlign w:val="baseline"/>
              </w:rPr>
            </w:pPr>
            <w:r>
              <w:rPr>
                <w:rFonts w:ascii="宋体" w:hAnsi="宋体" w:cs="Arial"/>
                <w:color w:val="auto"/>
                <w:kern w:val="0"/>
                <w:sz w:val="24"/>
              </w:rPr>
              <w:t>开户银行：</w:t>
            </w:r>
            <w:r>
              <w:rPr>
                <w:rFonts w:hint="eastAsia" w:ascii="宋体" w:hAnsi="宋体" w:cs="Arial"/>
                <w:color w:val="auto"/>
                <w:kern w:val="0"/>
                <w:sz w:val="24"/>
              </w:rPr>
              <w:t>中国建设银行股份有限公司龙岩第一支行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numPr>
                <w:ilvl w:val="-1"/>
                <w:numId w:val="0"/>
              </w:numPr>
              <w:spacing w:line="440" w:lineRule="exact"/>
              <w:jc w:val="left"/>
              <w:rPr>
                <w:rFonts w:ascii="宋体" w:hAnsi="宋体" w:cs="Arial"/>
                <w:color w:val="auto"/>
                <w:kern w:val="0"/>
                <w:sz w:val="24"/>
                <w:vertAlign w:val="baseline"/>
              </w:rPr>
            </w:pPr>
            <w:r>
              <w:rPr>
                <w:rFonts w:ascii="宋体" w:hAnsi="宋体" w:cs="Arial"/>
                <w:color w:val="auto"/>
                <w:kern w:val="0"/>
                <w:sz w:val="24"/>
                <w:vertAlign w:val="baseline"/>
              </w:rPr>
              <w:t>账</w:t>
            </w:r>
            <w:r>
              <w:rPr>
                <w:rFonts w:hint="eastAsia" w:ascii="宋体" w:hAnsi="宋体" w:cs="Arial"/>
                <w:color w:val="auto"/>
                <w:kern w:val="0"/>
                <w:sz w:val="24"/>
                <w:vertAlign w:val="baseline"/>
                <w:lang w:val="en-US" w:eastAsia="zh-CN"/>
              </w:rPr>
              <w:t xml:space="preserve">    </w:t>
            </w:r>
            <w:r>
              <w:rPr>
                <w:rFonts w:ascii="宋体" w:hAnsi="宋体" w:cs="Arial"/>
                <w:color w:val="auto"/>
                <w:kern w:val="0"/>
                <w:sz w:val="24"/>
                <w:vertAlign w:val="baseline"/>
              </w:rPr>
              <w:t>号：</w:t>
            </w:r>
            <w:r>
              <w:rPr>
                <w:rFonts w:hint="eastAsia" w:ascii="宋体" w:hAnsi="宋体" w:cs="Arial"/>
                <w:color w:val="auto"/>
                <w:kern w:val="0"/>
                <w:sz w:val="24"/>
                <w:vertAlign w:val="baseline"/>
              </w:rPr>
              <w:t>3500 1697 7070 5252 7193</w:t>
            </w:r>
          </w:p>
        </w:tc>
      </w:tr>
    </w:tbl>
    <w:p>
      <w:pPr>
        <w:rPr>
          <w:rFonts w:hint="eastAsia" w:ascii="微软雅黑" w:hAnsi="微软雅黑" w:eastAsia="微软雅黑" w:cs="微软雅黑"/>
          <w:color w:val="000000" w:themeColor="text1"/>
          <w:szCs w:val="21"/>
          <w:shd w:val="clear" w:color="auto" w:fill="FFFFFF"/>
          <w14:textFill>
            <w14:solidFill>
              <w14:schemeClr w14:val="tx1"/>
            </w14:solidFill>
          </w14:textFill>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DT">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A82A9"/>
    <w:multiLevelType w:val="singleLevel"/>
    <w:tmpl w:val="B50A82A9"/>
    <w:lvl w:ilvl="0" w:tentative="0">
      <w:start w:val="2"/>
      <w:numFmt w:val="decimal"/>
      <w:lvlText w:val="(%1)"/>
      <w:lvlJc w:val="left"/>
      <w:pPr>
        <w:tabs>
          <w:tab w:val="left" w:pos="312"/>
        </w:tabs>
      </w:pPr>
    </w:lvl>
  </w:abstractNum>
  <w:abstractNum w:abstractNumId="1">
    <w:nsid w:val="B7A67BE0"/>
    <w:multiLevelType w:val="singleLevel"/>
    <w:tmpl w:val="B7A67BE0"/>
    <w:lvl w:ilvl="0" w:tentative="0">
      <w:start w:val="9"/>
      <w:numFmt w:val="chineseCounting"/>
      <w:suff w:val="nothing"/>
      <w:lvlText w:val="%1、"/>
      <w:lvlJc w:val="left"/>
      <w:rPr>
        <w:rFonts w:hint="eastAsia"/>
        <w:b/>
        <w:bCs/>
      </w:rPr>
    </w:lvl>
  </w:abstractNum>
  <w:abstractNum w:abstractNumId="2">
    <w:nsid w:val="69E2823B"/>
    <w:multiLevelType w:val="singleLevel"/>
    <w:tmpl w:val="69E2823B"/>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386870"/>
    <w:rsid w:val="00105FEF"/>
    <w:rsid w:val="002C5436"/>
    <w:rsid w:val="003546E1"/>
    <w:rsid w:val="003B2FF1"/>
    <w:rsid w:val="004A653E"/>
    <w:rsid w:val="004B6A97"/>
    <w:rsid w:val="005B4C3A"/>
    <w:rsid w:val="00646910"/>
    <w:rsid w:val="0074341E"/>
    <w:rsid w:val="008357E9"/>
    <w:rsid w:val="008B5C6F"/>
    <w:rsid w:val="009E571D"/>
    <w:rsid w:val="009F2D52"/>
    <w:rsid w:val="009F42DC"/>
    <w:rsid w:val="00A17565"/>
    <w:rsid w:val="00AB7781"/>
    <w:rsid w:val="00AE7FEB"/>
    <w:rsid w:val="00B35D2F"/>
    <w:rsid w:val="00BB4DC4"/>
    <w:rsid w:val="00C24B6C"/>
    <w:rsid w:val="00CF7850"/>
    <w:rsid w:val="00E9651F"/>
    <w:rsid w:val="00EF41CD"/>
    <w:rsid w:val="00F15157"/>
    <w:rsid w:val="00F26A14"/>
    <w:rsid w:val="018C7BD0"/>
    <w:rsid w:val="05EA4DC6"/>
    <w:rsid w:val="05F5569C"/>
    <w:rsid w:val="06C14E02"/>
    <w:rsid w:val="073C7504"/>
    <w:rsid w:val="082E7B41"/>
    <w:rsid w:val="09386870"/>
    <w:rsid w:val="09AC7B44"/>
    <w:rsid w:val="0A4B59D3"/>
    <w:rsid w:val="0B0303E6"/>
    <w:rsid w:val="0C2E19B8"/>
    <w:rsid w:val="0C3375A7"/>
    <w:rsid w:val="0E976506"/>
    <w:rsid w:val="113739F5"/>
    <w:rsid w:val="12ED6227"/>
    <w:rsid w:val="134B178D"/>
    <w:rsid w:val="13F62BDF"/>
    <w:rsid w:val="174A7592"/>
    <w:rsid w:val="18F05C53"/>
    <w:rsid w:val="1ABA798F"/>
    <w:rsid w:val="1B7A3E63"/>
    <w:rsid w:val="1BBB76F4"/>
    <w:rsid w:val="1E815F2E"/>
    <w:rsid w:val="230A420F"/>
    <w:rsid w:val="2354308C"/>
    <w:rsid w:val="236924E0"/>
    <w:rsid w:val="241D6574"/>
    <w:rsid w:val="257658B6"/>
    <w:rsid w:val="26A4362D"/>
    <w:rsid w:val="27521C9C"/>
    <w:rsid w:val="28D61380"/>
    <w:rsid w:val="2A466066"/>
    <w:rsid w:val="2D7C2782"/>
    <w:rsid w:val="2DFB1F97"/>
    <w:rsid w:val="2E2E37D6"/>
    <w:rsid w:val="31A30BE1"/>
    <w:rsid w:val="330A79AD"/>
    <w:rsid w:val="33C978C6"/>
    <w:rsid w:val="35276154"/>
    <w:rsid w:val="357753A9"/>
    <w:rsid w:val="35A70C2A"/>
    <w:rsid w:val="360976AF"/>
    <w:rsid w:val="3A1715A7"/>
    <w:rsid w:val="3E6D7B2B"/>
    <w:rsid w:val="3EC85D59"/>
    <w:rsid w:val="3F5B3AFA"/>
    <w:rsid w:val="3F6D02BA"/>
    <w:rsid w:val="41C744FA"/>
    <w:rsid w:val="427205EA"/>
    <w:rsid w:val="427702DB"/>
    <w:rsid w:val="43B510FD"/>
    <w:rsid w:val="4612373E"/>
    <w:rsid w:val="4621390C"/>
    <w:rsid w:val="4A88040F"/>
    <w:rsid w:val="4BF66A8A"/>
    <w:rsid w:val="4EE95157"/>
    <w:rsid w:val="54FA392B"/>
    <w:rsid w:val="55212DCB"/>
    <w:rsid w:val="59257854"/>
    <w:rsid w:val="5A8A4FFE"/>
    <w:rsid w:val="5B133FBA"/>
    <w:rsid w:val="5EEC150D"/>
    <w:rsid w:val="5FA56162"/>
    <w:rsid w:val="61EF2BC4"/>
    <w:rsid w:val="66D32372"/>
    <w:rsid w:val="6A6435C4"/>
    <w:rsid w:val="6B5461FF"/>
    <w:rsid w:val="6BC00A7D"/>
    <w:rsid w:val="6CB54D3A"/>
    <w:rsid w:val="6CE02875"/>
    <w:rsid w:val="6E3C263D"/>
    <w:rsid w:val="6EB41779"/>
    <w:rsid w:val="6F2E39C0"/>
    <w:rsid w:val="716A05FE"/>
    <w:rsid w:val="7459232D"/>
    <w:rsid w:val="74980757"/>
    <w:rsid w:val="75716128"/>
    <w:rsid w:val="768F2D2A"/>
    <w:rsid w:val="77F63E98"/>
    <w:rsid w:val="77FC17A0"/>
    <w:rsid w:val="79A967DC"/>
    <w:rsid w:val="79CF00FA"/>
    <w:rsid w:val="7A3E58FC"/>
    <w:rsid w:val="7AE62CDE"/>
    <w:rsid w:val="7B8142EB"/>
    <w:rsid w:val="7DAE4CDE"/>
    <w:rsid w:val="7FE972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szCs w:val="20"/>
    </w:rPr>
  </w:style>
  <w:style w:type="paragraph" w:styleId="5">
    <w:name w:val="Balloon Text"/>
    <w:basedOn w:val="1"/>
    <w:link w:val="2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character" w:customStyle="1" w:styleId="14">
    <w:name w:val="font41"/>
    <w:qFormat/>
    <w:uiPriority w:val="0"/>
    <w:rPr>
      <w:rFonts w:hint="eastAsia" w:ascii="宋体" w:hAnsi="宋体" w:eastAsia="宋体" w:cs="宋体"/>
      <w:color w:val="000000"/>
      <w:sz w:val="22"/>
      <w:szCs w:val="22"/>
      <w:u w:val="none"/>
    </w:rPr>
  </w:style>
  <w:style w:type="character" w:customStyle="1" w:styleId="15">
    <w:name w:val="font61"/>
    <w:qFormat/>
    <w:uiPriority w:val="0"/>
    <w:rPr>
      <w:rFonts w:hint="eastAsia" w:ascii="宋体" w:hAnsi="宋体" w:eastAsia="宋体" w:cs="宋体"/>
      <w:color w:val="000000"/>
      <w:sz w:val="22"/>
      <w:szCs w:val="22"/>
      <w:u w:val="none"/>
    </w:rPr>
  </w:style>
  <w:style w:type="paragraph" w:styleId="16">
    <w:name w:val="List Paragraph"/>
    <w:basedOn w:val="1"/>
    <w:qFormat/>
    <w:uiPriority w:val="34"/>
    <w:pPr>
      <w:ind w:firstLine="420" w:firstLineChars="200"/>
    </w:pPr>
    <w:rPr>
      <w:rFonts w:ascii="Calibri" w:hAnsi="Calibri" w:cs="Calibri"/>
      <w:szCs w:val="21"/>
    </w:rPr>
  </w:style>
  <w:style w:type="character" w:customStyle="1" w:styleId="17">
    <w:name w:val="font121"/>
    <w:basedOn w:val="11"/>
    <w:qFormat/>
    <w:uiPriority w:val="0"/>
    <w:rPr>
      <w:rFonts w:hint="eastAsia" w:ascii="宋体" w:hAnsi="宋体" w:eastAsia="宋体" w:cs="宋体"/>
      <w:color w:val="000000"/>
      <w:sz w:val="20"/>
      <w:szCs w:val="20"/>
      <w:u w:val="none"/>
    </w:rPr>
  </w:style>
  <w:style w:type="character" w:customStyle="1" w:styleId="18">
    <w:name w:val="font13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0"/>
      <w:szCs w:val="20"/>
      <w:u w:val="none"/>
    </w:rPr>
  </w:style>
  <w:style w:type="character" w:customStyle="1" w:styleId="20">
    <w:name w:val="font101"/>
    <w:basedOn w:val="11"/>
    <w:qFormat/>
    <w:uiPriority w:val="0"/>
    <w:rPr>
      <w:rFonts w:ascii="GDT" w:hAnsi="GDT" w:eastAsia="GDT" w:cs="GDT"/>
      <w:color w:val="000000"/>
      <w:sz w:val="20"/>
      <w:szCs w:val="20"/>
      <w:u w:val="none"/>
    </w:rPr>
  </w:style>
  <w:style w:type="character" w:customStyle="1" w:styleId="21">
    <w:name w:val="批注框文本 Char"/>
    <w:basedOn w:val="11"/>
    <w:link w:val="5"/>
    <w:qFormat/>
    <w:uiPriority w:val="0"/>
    <w:rPr>
      <w:rFonts w:asciiTheme="minorHAnsi" w:hAnsiTheme="minorHAnsi" w:eastAsiaTheme="minorEastAsia" w:cstheme="minorBidi"/>
      <w:kern w:val="2"/>
      <w:sz w:val="18"/>
      <w:szCs w:val="18"/>
    </w:rPr>
  </w:style>
  <w:style w:type="paragraph" w:customStyle="1" w:styleId="22">
    <w:name w:val="正文_122_0_0_3"/>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1136</Words>
  <Characters>6479</Characters>
  <Lines>53</Lines>
  <Paragraphs>15</Paragraphs>
  <TotalTime>104</TotalTime>
  <ScaleCrop>false</ScaleCrop>
  <LinksUpToDate>false</LinksUpToDate>
  <CharactersWithSpaces>7600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2020-11-19T08:28:00Z</dcterms:created>
  <dc:creator>华腾招标周峰</dc:creator>
  <cp:lastModifiedBy>游斌荣</cp:lastModifiedBy>
  <dcterms:modified xsi:type="dcterms:W3CDTF">2022-02-28T09:51:00Z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7DFD6A8501E8458E9ACBFD3B38010078</vt:lpwstr>
  </property>
</Properties>
</file>